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F2830" w14:textId="52C703C5" w:rsidR="00F15B67" w:rsidRPr="00210A53" w:rsidRDefault="00F454F0" w:rsidP="001025F1">
      <w:pPr>
        <w:spacing w:after="100" w:afterAutospacing="1"/>
        <w:rPr>
          <w:rFonts w:ascii="Arial" w:hAnsi="Arial" w:cs="Arial"/>
          <w:b/>
          <w:sz w:val="22"/>
          <w:szCs w:val="22"/>
        </w:rPr>
      </w:pPr>
      <w:r w:rsidRPr="00210A53">
        <w:rPr>
          <w:rFonts w:ascii="Arial" w:hAnsi="Arial" w:cs="Arial"/>
          <w:noProof/>
          <w:sz w:val="22"/>
          <w:szCs w:val="22"/>
          <w:lang w:eastAsia="it-IT"/>
        </w:rPr>
        <w:drawing>
          <wp:anchor distT="0" distB="0" distL="114300" distR="114300" simplePos="0" relativeHeight="251658243" behindDoc="0" locked="0" layoutInCell="1" allowOverlap="1" wp14:anchorId="37E87F8C" wp14:editId="366A547E">
            <wp:simplePos x="0" y="0"/>
            <wp:positionH relativeFrom="margin">
              <wp:align>left</wp:align>
            </wp:positionH>
            <wp:positionV relativeFrom="paragraph">
              <wp:posOffset>0</wp:posOffset>
            </wp:positionV>
            <wp:extent cx="2337435" cy="1275715"/>
            <wp:effectExtent l="0" t="0" r="0" b="0"/>
            <wp:wrapNone/>
            <wp:docPr id="3" name="Picture 3" descr="../../../Desktop/bid_espan_ol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ktop/bid_espan_ol_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7435"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15B67" w:rsidRPr="00210A53">
        <w:rPr>
          <w:rFonts w:ascii="Arial" w:hAnsi="Arial" w:cs="Arial"/>
          <w:noProof/>
          <w:sz w:val="22"/>
          <w:szCs w:val="22"/>
          <w:lang w:eastAsia="it-IT"/>
        </w:rPr>
        <mc:AlternateContent>
          <mc:Choice Requires="wps">
            <w:drawing>
              <wp:anchor distT="36576" distB="36576" distL="36576" distR="36576" simplePos="0" relativeHeight="251658241" behindDoc="0" locked="0" layoutInCell="1" allowOverlap="1" wp14:anchorId="051DB5BB" wp14:editId="4A62FE6A">
                <wp:simplePos x="0" y="0"/>
                <wp:positionH relativeFrom="column">
                  <wp:posOffset>3538855</wp:posOffset>
                </wp:positionH>
                <wp:positionV relativeFrom="page">
                  <wp:posOffset>0</wp:posOffset>
                </wp:positionV>
                <wp:extent cx="3319145" cy="10125075"/>
                <wp:effectExtent l="0" t="0" r="8255" b="9525"/>
                <wp:wrapTight wrapText="bothSides">
                  <wp:wrapPolygon edited="0">
                    <wp:start x="0" y="0"/>
                    <wp:lineTo x="0" y="21566"/>
                    <wp:lineTo x="21488" y="21566"/>
                    <wp:lineTo x="21488" y="0"/>
                    <wp:lineTo x="0" y="0"/>
                  </wp:wrapPolygon>
                </wp:wrapTight>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145" cy="10125075"/>
                        </a:xfrm>
                        <a:prstGeom prst="rect">
                          <a:avLst/>
                        </a:prstGeom>
                        <a:solidFill>
                          <a:srgbClr val="153B5E"/>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C0A9325">
              <v:rect id="Rectangle 9" style="position:absolute;margin-left:278.65pt;margin-top:0;width:261.35pt;height:797.2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spid="_x0000_s1026" fillcolor="#153b5e" stroked="f" w14:anchorId="5CA70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">
                <v:textbox inset="2.88pt,2.88pt,2.88pt,2.88pt"/>
                <w10:wrap type="tight" anchory="page"/>
              </v:rect>
            </w:pict>
          </mc:Fallback>
        </mc:AlternateContent>
      </w:r>
    </w:p>
    <w:p w14:paraId="14E5BAFE" w14:textId="77777777" w:rsidR="00F15B67" w:rsidRPr="00210A53" w:rsidRDefault="00F15B67" w:rsidP="001025F1">
      <w:pPr>
        <w:spacing w:after="100" w:afterAutospacing="1"/>
        <w:rPr>
          <w:rFonts w:ascii="Arial" w:hAnsi="Arial" w:cs="Arial"/>
          <w:sz w:val="22"/>
          <w:szCs w:val="22"/>
        </w:rPr>
      </w:pPr>
    </w:p>
    <w:p w14:paraId="4C4357FF" w14:textId="77777777" w:rsidR="00F15B67" w:rsidRPr="00210A53" w:rsidRDefault="00F15B67" w:rsidP="001025F1">
      <w:pPr>
        <w:spacing w:after="100" w:afterAutospacing="1"/>
        <w:rPr>
          <w:rFonts w:ascii="Arial" w:hAnsi="Arial" w:cs="Arial"/>
          <w:sz w:val="22"/>
          <w:szCs w:val="22"/>
        </w:rPr>
      </w:pPr>
    </w:p>
    <w:p w14:paraId="4E93B48B" w14:textId="77777777" w:rsidR="00F15B67" w:rsidRPr="00210A53" w:rsidRDefault="00F15B67" w:rsidP="001025F1">
      <w:pPr>
        <w:spacing w:after="100" w:afterAutospacing="1"/>
        <w:rPr>
          <w:rFonts w:ascii="Arial" w:hAnsi="Arial" w:cs="Arial"/>
          <w:sz w:val="22"/>
          <w:szCs w:val="22"/>
        </w:rPr>
      </w:pPr>
    </w:p>
    <w:p w14:paraId="13820959" w14:textId="77777777" w:rsidR="00F15B67" w:rsidRPr="00210A53" w:rsidRDefault="00F15B67" w:rsidP="001025F1">
      <w:pPr>
        <w:spacing w:after="100" w:afterAutospacing="1"/>
        <w:rPr>
          <w:rFonts w:ascii="Arial" w:hAnsi="Arial" w:cs="Arial"/>
          <w:sz w:val="22"/>
          <w:szCs w:val="22"/>
        </w:rPr>
      </w:pPr>
    </w:p>
    <w:p w14:paraId="7EAD4E6E" w14:textId="77777777" w:rsidR="00F15B67" w:rsidRPr="00210A53" w:rsidRDefault="00F15B67" w:rsidP="001025F1">
      <w:pPr>
        <w:spacing w:after="100" w:afterAutospacing="1"/>
        <w:rPr>
          <w:rFonts w:ascii="Arial" w:hAnsi="Arial" w:cs="Arial"/>
          <w:sz w:val="22"/>
          <w:szCs w:val="22"/>
        </w:rPr>
      </w:pPr>
    </w:p>
    <w:p w14:paraId="59A6CD84" w14:textId="77777777" w:rsidR="00F15B67" w:rsidRPr="00210A53" w:rsidRDefault="00F15B67" w:rsidP="001025F1">
      <w:pPr>
        <w:spacing w:after="100" w:afterAutospacing="1"/>
        <w:rPr>
          <w:rFonts w:ascii="Arial" w:hAnsi="Arial" w:cs="Arial"/>
          <w:sz w:val="22"/>
          <w:szCs w:val="22"/>
        </w:rPr>
      </w:pPr>
    </w:p>
    <w:p w14:paraId="6F272F05" w14:textId="025617EF" w:rsidR="00F15B67" w:rsidRPr="00210A53" w:rsidRDefault="00A952F2" w:rsidP="001025F1">
      <w:pPr>
        <w:spacing w:after="100" w:afterAutospacing="1"/>
        <w:rPr>
          <w:rFonts w:ascii="Arial" w:hAnsi="Arial" w:cs="Arial"/>
          <w:sz w:val="22"/>
          <w:szCs w:val="22"/>
        </w:rPr>
      </w:pPr>
      <w:r w:rsidRPr="00210A53">
        <w:rPr>
          <w:rFonts w:ascii="Arial" w:hAnsi="Arial" w:cs="Arial"/>
          <w:noProof/>
          <w:sz w:val="22"/>
          <w:szCs w:val="22"/>
          <w:lang w:eastAsia="it-IT"/>
        </w:rPr>
        <mc:AlternateContent>
          <mc:Choice Requires="wps">
            <w:drawing>
              <wp:anchor distT="0" distB="0" distL="114300" distR="114300" simplePos="0" relativeHeight="251658242" behindDoc="0" locked="0" layoutInCell="1" allowOverlap="1" wp14:anchorId="02ED18D6" wp14:editId="56DE030A">
                <wp:simplePos x="0" y="0"/>
                <wp:positionH relativeFrom="column">
                  <wp:posOffset>-457200</wp:posOffset>
                </wp:positionH>
                <wp:positionV relativeFrom="paragraph">
                  <wp:posOffset>389255</wp:posOffset>
                </wp:positionV>
                <wp:extent cx="3352800" cy="271272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712720"/>
                        </a:xfrm>
                        <a:prstGeom prst="rect">
                          <a:avLst/>
                        </a:prstGeom>
                        <a:noFill/>
                        <a:ln>
                          <a:noFill/>
                        </a:ln>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A2228" w14:textId="77777777" w:rsidR="00890E4E" w:rsidRPr="00F8108A" w:rsidRDefault="00890E4E" w:rsidP="00F15B67">
                            <w:pPr>
                              <w:spacing w:before="120" w:after="120"/>
                              <w:rPr>
                                <w:rFonts w:ascii="Arial" w:hAnsi="Arial" w:cs="Arial"/>
                                <w:b/>
                                <w:bCs/>
                                <w:sz w:val="44"/>
                                <w:lang w:val="es-ES"/>
                              </w:rPr>
                            </w:pPr>
                            <w:r w:rsidRPr="00F8108A">
                              <w:rPr>
                                <w:rFonts w:ascii="Arial" w:hAnsi="Arial" w:cs="Arial"/>
                                <w:b/>
                                <w:bCs/>
                                <w:sz w:val="44"/>
                                <w:lang w:val="es-ES"/>
                              </w:rPr>
                              <w:t>Análisis Económico</w:t>
                            </w:r>
                          </w:p>
                          <w:p w14:paraId="53CD2794" w14:textId="0EB0E384" w:rsidR="00890E4E" w:rsidRPr="00F8108A" w:rsidRDefault="00890E4E" w:rsidP="00F15B67">
                            <w:pPr>
                              <w:spacing w:before="120" w:after="120"/>
                              <w:rPr>
                                <w:rFonts w:ascii="Arial" w:hAnsi="Arial" w:cs="Arial"/>
                                <w:smallCaps/>
                                <w:sz w:val="32"/>
                                <w:szCs w:val="32"/>
                                <w:lang w:val="es-ES_tradnl"/>
                              </w:rPr>
                            </w:pPr>
                            <w:r>
                              <w:rPr>
                                <w:rFonts w:ascii="Arial" w:hAnsi="Arial" w:cs="Arial"/>
                                <w:smallCaps/>
                                <w:sz w:val="32"/>
                                <w:szCs w:val="32"/>
                                <w:lang w:val="es-ES_tradnl"/>
                              </w:rPr>
                              <w:t>BR-L15</w:t>
                            </w:r>
                            <w:r w:rsidR="00CB0813">
                              <w:rPr>
                                <w:rFonts w:ascii="Arial" w:hAnsi="Arial" w:cs="Arial"/>
                                <w:smallCaps/>
                                <w:sz w:val="32"/>
                                <w:szCs w:val="32"/>
                                <w:lang w:val="es-ES_tradnl"/>
                              </w:rPr>
                              <w:t>83</w:t>
                            </w:r>
                          </w:p>
                          <w:p w14:paraId="045B40B6" w14:textId="09A5F11D" w:rsidR="00890E4E" w:rsidRPr="00A538F5" w:rsidRDefault="00890E4E" w:rsidP="00D70ECF">
                            <w:pPr>
                              <w:spacing w:before="120" w:after="120"/>
                              <w:rPr>
                                <w:rFonts w:ascii="Arial" w:hAnsi="Arial" w:cs="Arial"/>
                                <w:smallCaps/>
                                <w:sz w:val="32"/>
                                <w:szCs w:val="32"/>
                              </w:rPr>
                            </w:pPr>
                            <w:bookmarkStart w:id="0" w:name="_Hlk521335901"/>
                            <w:r w:rsidRPr="00D70ECF">
                              <w:rPr>
                                <w:rFonts w:ascii="Arial" w:hAnsi="Arial" w:cs="Arial"/>
                                <w:smallCaps/>
                                <w:sz w:val="32"/>
                                <w:szCs w:val="32"/>
                                <w:lang w:val="es-ES"/>
                              </w:rPr>
                              <w:t xml:space="preserve">Programa </w:t>
                            </w:r>
                            <w:bookmarkEnd w:id="0"/>
                            <w:r w:rsidRPr="00D70ECF">
                              <w:rPr>
                                <w:rFonts w:ascii="Arial" w:hAnsi="Arial" w:cs="Arial"/>
                                <w:smallCaps/>
                                <w:sz w:val="32"/>
                                <w:szCs w:val="32"/>
                                <w:lang w:val="es-ES"/>
                              </w:rPr>
                              <w:t xml:space="preserve">de Fortalecimiento </w:t>
                            </w:r>
                            <w:r w:rsidR="00A538F5">
                              <w:rPr>
                                <w:rFonts w:ascii="Arial" w:hAnsi="Arial" w:cs="Arial"/>
                                <w:smallCaps/>
                                <w:sz w:val="32"/>
                                <w:szCs w:val="32"/>
                                <w:lang w:val="es-ES"/>
                              </w:rPr>
                              <w:t>de la</w:t>
                            </w:r>
                            <w:r w:rsidR="00B95501">
                              <w:rPr>
                                <w:rFonts w:ascii="Arial" w:hAnsi="Arial" w:cs="Arial"/>
                                <w:smallCaps/>
                                <w:sz w:val="32"/>
                                <w:szCs w:val="32"/>
                                <w:lang w:val="es-ES"/>
                              </w:rPr>
                              <w:t>s</w:t>
                            </w:r>
                            <w:r w:rsidR="00A538F5">
                              <w:rPr>
                                <w:rFonts w:ascii="Arial" w:hAnsi="Arial" w:cs="Arial"/>
                                <w:smallCaps/>
                                <w:sz w:val="32"/>
                                <w:szCs w:val="32"/>
                                <w:lang w:val="es-ES"/>
                              </w:rPr>
                              <w:t xml:space="preserve"> Red</w:t>
                            </w:r>
                            <w:r w:rsidR="00B95501">
                              <w:rPr>
                                <w:rFonts w:ascii="Arial" w:hAnsi="Arial" w:cs="Arial"/>
                                <w:smallCaps/>
                                <w:sz w:val="32"/>
                                <w:szCs w:val="32"/>
                                <w:lang w:val="es-ES"/>
                              </w:rPr>
                              <w:t>es</w:t>
                            </w:r>
                            <w:r w:rsidR="00A538F5">
                              <w:rPr>
                                <w:rFonts w:ascii="Arial" w:hAnsi="Arial" w:cs="Arial"/>
                                <w:smallCaps/>
                                <w:sz w:val="32"/>
                                <w:szCs w:val="32"/>
                                <w:lang w:val="es-ES"/>
                              </w:rPr>
                              <w:t xml:space="preserve"> de </w:t>
                            </w:r>
                            <w:r w:rsidR="00B95501">
                              <w:rPr>
                                <w:rFonts w:ascii="Arial" w:hAnsi="Arial" w:cs="Arial"/>
                                <w:smallCaps/>
                                <w:sz w:val="32"/>
                                <w:szCs w:val="32"/>
                                <w:lang w:val="es-ES"/>
                              </w:rPr>
                              <w:t xml:space="preserve">Inclusión Social y </w:t>
                            </w:r>
                            <w:r w:rsidR="00A538F5" w:rsidRPr="00B95501">
                              <w:rPr>
                                <w:rFonts w:ascii="Arial" w:hAnsi="Arial" w:cs="Arial"/>
                                <w:smallCaps/>
                                <w:sz w:val="32"/>
                                <w:szCs w:val="32"/>
                              </w:rPr>
                              <w:t xml:space="preserve">Atención </w:t>
                            </w:r>
                            <w:r w:rsidR="00A538F5">
                              <w:rPr>
                                <w:rFonts w:ascii="Arial" w:hAnsi="Arial" w:cs="Arial"/>
                                <w:smallCaps/>
                                <w:sz w:val="32"/>
                                <w:szCs w:val="32"/>
                              </w:rPr>
                              <w:t xml:space="preserve">a la Salud </w:t>
                            </w:r>
                            <w:r w:rsidR="00AA3E48">
                              <w:rPr>
                                <w:rFonts w:ascii="Arial" w:hAnsi="Arial" w:cs="Arial"/>
                                <w:smallCaps/>
                                <w:sz w:val="32"/>
                                <w:szCs w:val="32"/>
                              </w:rPr>
                              <w:t xml:space="preserve">– PROREDES </w:t>
                            </w:r>
                            <w:r w:rsidR="00A538F5">
                              <w:rPr>
                                <w:rFonts w:ascii="Arial" w:hAnsi="Arial" w:cs="Arial"/>
                                <w:smallCaps/>
                                <w:sz w:val="32"/>
                                <w:szCs w:val="32"/>
                              </w:rPr>
                              <w:t>Sergipe</w:t>
                            </w:r>
                          </w:p>
                          <w:p w14:paraId="0866AC36" w14:textId="038837E3" w:rsidR="00890E4E" w:rsidRPr="00A6263A" w:rsidRDefault="00890E4E" w:rsidP="00F15B67">
                            <w:pPr>
                              <w:spacing w:before="120" w:after="120"/>
                              <w:rPr>
                                <w:rFonts w:cs="Arial"/>
                                <w:bCs/>
                                <w:sz w:val="44"/>
                              </w:rPr>
                            </w:pPr>
                          </w:p>
                          <w:p w14:paraId="1BD4A2E9" w14:textId="77777777" w:rsidR="00A952F2" w:rsidRPr="00740026" w:rsidRDefault="00A952F2" w:rsidP="00F15B67">
                            <w:pPr>
                              <w:spacing w:before="120" w:after="120"/>
                              <w:rPr>
                                <w:rFonts w:cs="Arial"/>
                                <w:bCs/>
                                <w:sz w:val="44"/>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D18D6" id="_x0000_t202" coordsize="21600,21600" o:spt="202" path="m,l,21600r21600,l21600,xe">
                <v:stroke joinstyle="miter"/>
                <v:path gradientshapeok="t" o:connecttype="rect"/>
              </v:shapetype>
              <v:shape id="Text Box 7" o:spid="_x0000_s1026" type="#_x0000_t202" style="position:absolute;margin-left:-36pt;margin-top:30.65pt;width:264pt;height:21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" filled="f" fillcolor="navy" stroked="f">
                <v:textbox>
                  <w:txbxContent>
                    <w:p w14:paraId="440A2228" w14:textId="77777777" w:rsidR="00890E4E" w:rsidRPr="00F8108A" w:rsidRDefault="00890E4E" w:rsidP="00F15B67">
                      <w:pPr>
                        <w:spacing w:before="120" w:after="120"/>
                        <w:rPr>
                          <w:rFonts w:ascii="Arial" w:hAnsi="Arial" w:cs="Arial"/>
                          <w:b/>
                          <w:bCs/>
                          <w:sz w:val="44"/>
                          <w:lang w:val="es-ES"/>
                        </w:rPr>
                      </w:pPr>
                      <w:r w:rsidRPr="00F8108A">
                        <w:rPr>
                          <w:rFonts w:ascii="Arial" w:hAnsi="Arial" w:cs="Arial"/>
                          <w:b/>
                          <w:bCs/>
                          <w:sz w:val="44"/>
                          <w:lang w:val="es-ES"/>
                        </w:rPr>
                        <w:t>Análisis Económico</w:t>
                      </w:r>
                    </w:p>
                    <w:p w14:paraId="53CD2794" w14:textId="0EB0E384" w:rsidR="00890E4E" w:rsidRPr="00F8108A" w:rsidRDefault="00890E4E" w:rsidP="00F15B67">
                      <w:pPr>
                        <w:spacing w:before="120" w:after="120"/>
                        <w:rPr>
                          <w:rFonts w:ascii="Arial" w:hAnsi="Arial" w:cs="Arial"/>
                          <w:smallCaps/>
                          <w:sz w:val="32"/>
                          <w:szCs w:val="32"/>
                          <w:lang w:val="es-ES_tradnl"/>
                        </w:rPr>
                      </w:pPr>
                      <w:r>
                        <w:rPr>
                          <w:rFonts w:ascii="Arial" w:hAnsi="Arial" w:cs="Arial"/>
                          <w:smallCaps/>
                          <w:sz w:val="32"/>
                          <w:szCs w:val="32"/>
                          <w:lang w:val="es-ES_tradnl"/>
                        </w:rPr>
                        <w:t>BR-L15</w:t>
                      </w:r>
                      <w:r w:rsidR="00CB0813">
                        <w:rPr>
                          <w:rFonts w:ascii="Arial" w:hAnsi="Arial" w:cs="Arial"/>
                          <w:smallCaps/>
                          <w:sz w:val="32"/>
                          <w:szCs w:val="32"/>
                          <w:lang w:val="es-ES_tradnl"/>
                        </w:rPr>
                        <w:t>83</w:t>
                      </w:r>
                    </w:p>
                    <w:p w14:paraId="045B40B6" w14:textId="09A5F11D" w:rsidR="00890E4E" w:rsidRPr="00A538F5" w:rsidRDefault="00890E4E" w:rsidP="00D70ECF">
                      <w:pPr>
                        <w:spacing w:before="120" w:after="120"/>
                        <w:rPr>
                          <w:rFonts w:ascii="Arial" w:hAnsi="Arial" w:cs="Arial"/>
                          <w:smallCaps/>
                          <w:sz w:val="32"/>
                          <w:szCs w:val="32"/>
                        </w:rPr>
                      </w:pPr>
                      <w:bookmarkStart w:id="1" w:name="_Hlk521335901"/>
                      <w:r w:rsidRPr="00D70ECF">
                        <w:rPr>
                          <w:rFonts w:ascii="Arial" w:hAnsi="Arial" w:cs="Arial"/>
                          <w:smallCaps/>
                          <w:sz w:val="32"/>
                          <w:szCs w:val="32"/>
                          <w:lang w:val="es-ES"/>
                        </w:rPr>
                        <w:t xml:space="preserve">Programa </w:t>
                      </w:r>
                      <w:bookmarkEnd w:id="1"/>
                      <w:r w:rsidRPr="00D70ECF">
                        <w:rPr>
                          <w:rFonts w:ascii="Arial" w:hAnsi="Arial" w:cs="Arial"/>
                          <w:smallCaps/>
                          <w:sz w:val="32"/>
                          <w:szCs w:val="32"/>
                          <w:lang w:val="es-ES"/>
                        </w:rPr>
                        <w:t xml:space="preserve">de Fortalecimiento </w:t>
                      </w:r>
                      <w:r w:rsidR="00A538F5">
                        <w:rPr>
                          <w:rFonts w:ascii="Arial" w:hAnsi="Arial" w:cs="Arial"/>
                          <w:smallCaps/>
                          <w:sz w:val="32"/>
                          <w:szCs w:val="32"/>
                          <w:lang w:val="es-ES"/>
                        </w:rPr>
                        <w:t>de la</w:t>
                      </w:r>
                      <w:r w:rsidR="00B95501">
                        <w:rPr>
                          <w:rFonts w:ascii="Arial" w:hAnsi="Arial" w:cs="Arial"/>
                          <w:smallCaps/>
                          <w:sz w:val="32"/>
                          <w:szCs w:val="32"/>
                          <w:lang w:val="es-ES"/>
                        </w:rPr>
                        <w:t>s</w:t>
                      </w:r>
                      <w:r w:rsidR="00A538F5">
                        <w:rPr>
                          <w:rFonts w:ascii="Arial" w:hAnsi="Arial" w:cs="Arial"/>
                          <w:smallCaps/>
                          <w:sz w:val="32"/>
                          <w:szCs w:val="32"/>
                          <w:lang w:val="es-ES"/>
                        </w:rPr>
                        <w:t xml:space="preserve"> Red</w:t>
                      </w:r>
                      <w:r w:rsidR="00B95501">
                        <w:rPr>
                          <w:rFonts w:ascii="Arial" w:hAnsi="Arial" w:cs="Arial"/>
                          <w:smallCaps/>
                          <w:sz w:val="32"/>
                          <w:szCs w:val="32"/>
                          <w:lang w:val="es-ES"/>
                        </w:rPr>
                        <w:t>es</w:t>
                      </w:r>
                      <w:r w:rsidR="00A538F5">
                        <w:rPr>
                          <w:rFonts w:ascii="Arial" w:hAnsi="Arial" w:cs="Arial"/>
                          <w:smallCaps/>
                          <w:sz w:val="32"/>
                          <w:szCs w:val="32"/>
                          <w:lang w:val="es-ES"/>
                        </w:rPr>
                        <w:t xml:space="preserve"> de </w:t>
                      </w:r>
                      <w:r w:rsidR="00B95501">
                        <w:rPr>
                          <w:rFonts w:ascii="Arial" w:hAnsi="Arial" w:cs="Arial"/>
                          <w:smallCaps/>
                          <w:sz w:val="32"/>
                          <w:szCs w:val="32"/>
                          <w:lang w:val="es-ES"/>
                        </w:rPr>
                        <w:t xml:space="preserve">Inclusión Social y </w:t>
                      </w:r>
                      <w:r w:rsidR="00A538F5" w:rsidRPr="00B95501">
                        <w:rPr>
                          <w:rFonts w:ascii="Arial" w:hAnsi="Arial" w:cs="Arial"/>
                          <w:smallCaps/>
                          <w:sz w:val="32"/>
                          <w:szCs w:val="32"/>
                        </w:rPr>
                        <w:t xml:space="preserve">Atención </w:t>
                      </w:r>
                      <w:r w:rsidR="00A538F5">
                        <w:rPr>
                          <w:rFonts w:ascii="Arial" w:hAnsi="Arial" w:cs="Arial"/>
                          <w:smallCaps/>
                          <w:sz w:val="32"/>
                          <w:szCs w:val="32"/>
                        </w:rPr>
                        <w:t xml:space="preserve">a la Salud </w:t>
                      </w:r>
                      <w:r w:rsidR="00AA3E48">
                        <w:rPr>
                          <w:rFonts w:ascii="Arial" w:hAnsi="Arial" w:cs="Arial"/>
                          <w:smallCaps/>
                          <w:sz w:val="32"/>
                          <w:szCs w:val="32"/>
                        </w:rPr>
                        <w:t xml:space="preserve">– PROREDES </w:t>
                      </w:r>
                      <w:r w:rsidR="00A538F5">
                        <w:rPr>
                          <w:rFonts w:ascii="Arial" w:hAnsi="Arial" w:cs="Arial"/>
                          <w:smallCaps/>
                          <w:sz w:val="32"/>
                          <w:szCs w:val="32"/>
                        </w:rPr>
                        <w:t>Sergipe</w:t>
                      </w:r>
                    </w:p>
                    <w:p w14:paraId="0866AC36" w14:textId="038837E3" w:rsidR="00890E4E" w:rsidRPr="00A6263A" w:rsidRDefault="00890E4E" w:rsidP="00F15B67">
                      <w:pPr>
                        <w:spacing w:before="120" w:after="120"/>
                        <w:rPr>
                          <w:rFonts w:cs="Arial"/>
                          <w:bCs/>
                          <w:sz w:val="44"/>
                        </w:rPr>
                      </w:pPr>
                    </w:p>
                    <w:p w14:paraId="1BD4A2E9" w14:textId="77777777" w:rsidR="00A952F2" w:rsidRPr="00740026" w:rsidRDefault="00A952F2" w:rsidP="00F15B67">
                      <w:pPr>
                        <w:spacing w:before="120" w:after="120"/>
                        <w:rPr>
                          <w:rFonts w:cs="Arial"/>
                          <w:bCs/>
                          <w:sz w:val="44"/>
                          <w:lang w:val="es-ES_tradnl"/>
                        </w:rPr>
                      </w:pPr>
                    </w:p>
                  </w:txbxContent>
                </v:textbox>
                <w10:wrap type="square"/>
              </v:shape>
            </w:pict>
          </mc:Fallback>
        </mc:AlternateContent>
      </w:r>
    </w:p>
    <w:p w14:paraId="4D43CC80" w14:textId="74C345B5" w:rsidR="00F15B67" w:rsidRPr="00210A53" w:rsidRDefault="00F15B67" w:rsidP="001025F1">
      <w:pPr>
        <w:spacing w:after="100" w:afterAutospacing="1"/>
        <w:rPr>
          <w:rFonts w:ascii="Arial" w:hAnsi="Arial" w:cs="Arial"/>
          <w:sz w:val="22"/>
          <w:szCs w:val="22"/>
        </w:rPr>
      </w:pPr>
    </w:p>
    <w:p w14:paraId="3D0923BD" w14:textId="77777777" w:rsidR="00F15B67" w:rsidRPr="00210A53" w:rsidRDefault="00F15B67" w:rsidP="001025F1">
      <w:pPr>
        <w:spacing w:after="100" w:afterAutospacing="1"/>
        <w:rPr>
          <w:rFonts w:ascii="Arial" w:hAnsi="Arial" w:cs="Arial"/>
          <w:sz w:val="22"/>
          <w:szCs w:val="22"/>
        </w:rPr>
      </w:pPr>
    </w:p>
    <w:p w14:paraId="22ACF050" w14:textId="77777777" w:rsidR="00F15B67" w:rsidRPr="00210A53" w:rsidRDefault="00F15B67" w:rsidP="001025F1">
      <w:pPr>
        <w:spacing w:after="100" w:afterAutospacing="1"/>
        <w:rPr>
          <w:rFonts w:ascii="Arial" w:hAnsi="Arial" w:cs="Arial"/>
          <w:sz w:val="22"/>
          <w:szCs w:val="22"/>
        </w:rPr>
      </w:pPr>
    </w:p>
    <w:p w14:paraId="5F8C010E" w14:textId="77777777" w:rsidR="00F15B67" w:rsidRPr="00210A53" w:rsidRDefault="00F15B67" w:rsidP="001025F1">
      <w:pPr>
        <w:spacing w:after="100" w:afterAutospacing="1"/>
        <w:rPr>
          <w:rFonts w:ascii="Arial" w:hAnsi="Arial" w:cs="Arial"/>
          <w:sz w:val="22"/>
          <w:szCs w:val="22"/>
        </w:rPr>
      </w:pPr>
    </w:p>
    <w:p w14:paraId="191167AE" w14:textId="77777777" w:rsidR="00F15B67" w:rsidRPr="00210A53" w:rsidRDefault="00F15B67" w:rsidP="001025F1">
      <w:pPr>
        <w:spacing w:after="100" w:afterAutospacing="1"/>
        <w:rPr>
          <w:rFonts w:ascii="Arial" w:hAnsi="Arial" w:cs="Arial"/>
          <w:sz w:val="22"/>
          <w:szCs w:val="22"/>
        </w:rPr>
      </w:pPr>
    </w:p>
    <w:p w14:paraId="4BC33FC6" w14:textId="77777777" w:rsidR="00F15B67" w:rsidRPr="00210A53" w:rsidRDefault="00F15B67" w:rsidP="001025F1">
      <w:pPr>
        <w:spacing w:after="100" w:afterAutospacing="1"/>
        <w:rPr>
          <w:rFonts w:ascii="Arial" w:hAnsi="Arial" w:cs="Arial"/>
          <w:sz w:val="22"/>
          <w:szCs w:val="22"/>
        </w:rPr>
      </w:pPr>
    </w:p>
    <w:p w14:paraId="1C72664C" w14:textId="77777777" w:rsidR="00F15B67" w:rsidRPr="00210A53" w:rsidRDefault="00F15B67" w:rsidP="001025F1">
      <w:pPr>
        <w:spacing w:after="100" w:afterAutospacing="1"/>
        <w:rPr>
          <w:rFonts w:ascii="Arial" w:hAnsi="Arial" w:cs="Arial"/>
          <w:sz w:val="22"/>
          <w:szCs w:val="22"/>
        </w:rPr>
      </w:pPr>
    </w:p>
    <w:p w14:paraId="6BCB4381" w14:textId="77777777" w:rsidR="00F15B67" w:rsidRPr="00210A53" w:rsidRDefault="00F15B67" w:rsidP="001025F1">
      <w:pPr>
        <w:spacing w:after="100" w:afterAutospacing="1"/>
        <w:rPr>
          <w:rFonts w:ascii="Arial" w:hAnsi="Arial" w:cs="Arial"/>
          <w:sz w:val="22"/>
          <w:szCs w:val="22"/>
        </w:rPr>
      </w:pPr>
    </w:p>
    <w:p w14:paraId="6FE99A28" w14:textId="77777777" w:rsidR="00F15B67" w:rsidRPr="00210A53" w:rsidRDefault="00F15B67" w:rsidP="001025F1">
      <w:pPr>
        <w:spacing w:after="100" w:afterAutospacing="1"/>
        <w:rPr>
          <w:rFonts w:ascii="Arial" w:hAnsi="Arial" w:cs="Arial"/>
          <w:sz w:val="22"/>
          <w:szCs w:val="22"/>
        </w:rPr>
      </w:pPr>
    </w:p>
    <w:p w14:paraId="6FCBD8C1" w14:textId="77777777" w:rsidR="00F15B67" w:rsidRPr="00210A53" w:rsidRDefault="00F15B67" w:rsidP="001025F1">
      <w:pPr>
        <w:spacing w:after="100" w:afterAutospacing="1"/>
        <w:rPr>
          <w:rFonts w:ascii="Arial" w:hAnsi="Arial" w:cs="Arial"/>
          <w:sz w:val="22"/>
          <w:szCs w:val="22"/>
        </w:rPr>
      </w:pPr>
    </w:p>
    <w:p w14:paraId="7A47576D" w14:textId="77777777" w:rsidR="00F15B67" w:rsidRPr="00210A53" w:rsidRDefault="00F15B67" w:rsidP="001025F1">
      <w:pPr>
        <w:spacing w:after="100" w:afterAutospacing="1"/>
        <w:rPr>
          <w:rFonts w:ascii="Arial" w:hAnsi="Arial" w:cs="Arial"/>
          <w:b/>
          <w:bCs/>
          <w:sz w:val="22"/>
          <w:szCs w:val="22"/>
        </w:rPr>
      </w:pPr>
    </w:p>
    <w:p w14:paraId="1DF1DF6B" w14:textId="09648EC7" w:rsidR="00F15B67" w:rsidRPr="00BA7744" w:rsidRDefault="00B95501" w:rsidP="001025F1">
      <w:pPr>
        <w:tabs>
          <w:tab w:val="left" w:pos="1440"/>
          <w:tab w:val="left" w:pos="3060"/>
        </w:tabs>
        <w:spacing w:before="120" w:after="100" w:afterAutospacing="1"/>
        <w:jc w:val="both"/>
        <w:rPr>
          <w:rFonts w:ascii="Arial" w:hAnsi="Arial" w:cs="Arial"/>
          <w:b/>
          <w:smallCaps/>
          <w:sz w:val="22"/>
          <w:szCs w:val="22"/>
          <w:lang w:val="es-ES_tradnl"/>
        </w:rPr>
      </w:pPr>
      <w:bookmarkStart w:id="2" w:name="_Hlk76992426"/>
      <w:r>
        <w:rPr>
          <w:rFonts w:ascii="Arial" w:hAnsi="Arial" w:cs="Arial"/>
          <w:b/>
          <w:smallCaps/>
          <w:sz w:val="22"/>
          <w:szCs w:val="22"/>
          <w:lang w:val="es-ES_tradnl"/>
        </w:rPr>
        <w:t xml:space="preserve">6 de </w:t>
      </w:r>
      <w:r w:rsidR="00A538F5">
        <w:rPr>
          <w:rFonts w:ascii="Arial" w:hAnsi="Arial" w:cs="Arial"/>
          <w:b/>
          <w:smallCaps/>
          <w:sz w:val="22"/>
          <w:szCs w:val="22"/>
          <w:lang w:val="es-ES_tradnl"/>
        </w:rPr>
        <w:t>April</w:t>
      </w:r>
      <w:r w:rsidR="000752E3" w:rsidRPr="00BA7744">
        <w:rPr>
          <w:rFonts w:ascii="Arial" w:hAnsi="Arial" w:cs="Arial"/>
          <w:b/>
          <w:smallCaps/>
          <w:sz w:val="22"/>
          <w:szCs w:val="22"/>
          <w:lang w:val="es-ES_tradnl"/>
        </w:rPr>
        <w:t xml:space="preserve"> de </w:t>
      </w:r>
      <w:r w:rsidR="00F15B67" w:rsidRPr="00BA7744">
        <w:rPr>
          <w:rFonts w:ascii="Arial" w:hAnsi="Arial" w:cs="Arial"/>
          <w:b/>
          <w:smallCaps/>
          <w:sz w:val="22"/>
          <w:szCs w:val="22"/>
          <w:lang w:val="es-ES_tradnl"/>
        </w:rPr>
        <w:t>20</w:t>
      </w:r>
      <w:r w:rsidR="00115C93" w:rsidRPr="00BA7744">
        <w:rPr>
          <w:rFonts w:ascii="Arial" w:hAnsi="Arial" w:cs="Arial"/>
          <w:b/>
          <w:smallCaps/>
          <w:sz w:val="22"/>
          <w:szCs w:val="22"/>
          <w:lang w:val="es-ES_tradnl"/>
        </w:rPr>
        <w:t>21</w:t>
      </w:r>
    </w:p>
    <w:p w14:paraId="6314D839" w14:textId="77777777" w:rsidR="00F15B67" w:rsidRPr="00BA7744" w:rsidRDefault="00F15B67" w:rsidP="001025F1">
      <w:pPr>
        <w:spacing w:after="100" w:afterAutospacing="1"/>
        <w:rPr>
          <w:rFonts w:ascii="Arial" w:hAnsi="Arial" w:cs="Arial"/>
          <w:sz w:val="22"/>
          <w:szCs w:val="22"/>
          <w:lang w:val="es-ES_tradnl"/>
        </w:rPr>
      </w:pPr>
    </w:p>
    <w:p w14:paraId="34B3667B" w14:textId="0E911E58" w:rsidR="00890E4E" w:rsidRPr="00BA7744" w:rsidRDefault="00AD709D" w:rsidP="00CC7968">
      <w:pPr>
        <w:spacing w:after="100" w:afterAutospacing="1"/>
        <w:rPr>
          <w:rFonts w:ascii="Arial" w:hAnsi="Arial" w:cs="Arial"/>
          <w:sz w:val="22"/>
          <w:szCs w:val="22"/>
          <w:lang w:val="es-ES_tradnl"/>
        </w:rPr>
        <w:sectPr w:rsidR="00890E4E" w:rsidRPr="00BA7744" w:rsidSect="00890E4E">
          <w:headerReference w:type="even" r:id="rId15"/>
          <w:headerReference w:type="default" r:id="rId16"/>
          <w:headerReference w:type="first" r:id="rId17"/>
          <w:pgSz w:w="12240" w:h="15840"/>
          <w:pgMar w:top="1440" w:right="1440" w:bottom="1440" w:left="1440" w:header="720" w:footer="720" w:gutter="0"/>
          <w:pgNumType w:start="0"/>
          <w:cols w:space="720"/>
          <w:titlePg/>
          <w:docGrid w:linePitch="360"/>
        </w:sectPr>
      </w:pPr>
      <w:r w:rsidRPr="00BA7744">
        <w:rPr>
          <w:rFonts w:ascii="Arial" w:hAnsi="Arial" w:cs="Arial"/>
          <w:smallCaps/>
          <w:sz w:val="22"/>
          <w:szCs w:val="22"/>
          <w:lang w:val="es-ES_tradnl"/>
        </w:rPr>
        <w:t>Documento preparado</w:t>
      </w:r>
      <w:r w:rsidRPr="00BA7744">
        <w:rPr>
          <w:rFonts w:ascii="Arial" w:hAnsi="Arial" w:cs="Arial"/>
          <w:sz w:val="22"/>
          <w:szCs w:val="22"/>
          <w:lang w:val="es-ES_tradnl"/>
        </w:rPr>
        <w:t xml:space="preserve"> </w:t>
      </w:r>
      <w:r w:rsidRPr="00BA7744">
        <w:rPr>
          <w:rFonts w:ascii="Arial" w:hAnsi="Arial" w:cs="Arial"/>
          <w:smallCaps/>
          <w:sz w:val="22"/>
          <w:szCs w:val="22"/>
          <w:lang w:val="es-ES_tradnl"/>
        </w:rPr>
        <w:t>por</w:t>
      </w:r>
      <w:r w:rsidR="00D775AD" w:rsidRPr="00BA7744">
        <w:rPr>
          <w:rFonts w:ascii="Arial" w:hAnsi="Arial" w:cs="Arial"/>
          <w:smallCaps/>
          <w:sz w:val="22"/>
          <w:szCs w:val="22"/>
          <w:lang w:val="es-ES_tradnl"/>
        </w:rPr>
        <w:t xml:space="preserve">: </w:t>
      </w:r>
      <w:r w:rsidR="0048364E">
        <w:rPr>
          <w:rFonts w:ascii="Arial" w:hAnsi="Arial" w:cs="Arial"/>
          <w:smallCaps/>
          <w:sz w:val="22"/>
          <w:szCs w:val="22"/>
          <w:lang w:val="es-ES_tradnl"/>
        </w:rPr>
        <w:t>Leonardo Goes</w:t>
      </w:r>
      <w:r w:rsidR="00B95501">
        <w:rPr>
          <w:rFonts w:ascii="Arial" w:hAnsi="Arial" w:cs="Arial"/>
          <w:smallCaps/>
          <w:sz w:val="22"/>
          <w:szCs w:val="22"/>
          <w:lang w:val="es-ES_tradnl"/>
        </w:rPr>
        <w:t xml:space="preserve"> Shibata</w:t>
      </w:r>
      <w:r w:rsidR="0048364E">
        <w:rPr>
          <w:rFonts w:ascii="Arial" w:hAnsi="Arial" w:cs="Arial"/>
          <w:smallCaps/>
          <w:sz w:val="22"/>
          <w:szCs w:val="22"/>
          <w:lang w:val="es-ES_tradnl"/>
        </w:rPr>
        <w:t xml:space="preserve">, </w:t>
      </w:r>
      <w:r w:rsidR="00D775AD" w:rsidRPr="00BA7744">
        <w:rPr>
          <w:rFonts w:ascii="Arial" w:hAnsi="Arial" w:cs="Arial"/>
          <w:smallCaps/>
          <w:sz w:val="22"/>
          <w:szCs w:val="22"/>
          <w:lang w:val="es-ES_tradnl"/>
        </w:rPr>
        <w:t>Marcia Gomes Rocha y Laura Goyeneche</w:t>
      </w:r>
    </w:p>
    <w:bookmarkEnd w:id="2"/>
    <w:p w14:paraId="6578A3DD" w14:textId="77777777" w:rsidR="00242569" w:rsidRPr="00BA7744" w:rsidRDefault="00242569" w:rsidP="00242569">
      <w:pPr>
        <w:spacing w:after="100" w:afterAutospacing="1"/>
        <w:rPr>
          <w:rFonts w:ascii="Arial" w:hAnsi="Arial" w:cs="Arial"/>
          <w:b/>
          <w:smallCaps/>
          <w:sz w:val="22"/>
          <w:szCs w:val="22"/>
          <w:lang w:val="es-ES_tradnl"/>
        </w:rPr>
      </w:pPr>
    </w:p>
    <w:p w14:paraId="2D3D9303" w14:textId="283D8690" w:rsidR="00B75263" w:rsidRPr="00210A53" w:rsidRDefault="00800C22" w:rsidP="00800C22">
      <w:pPr>
        <w:pStyle w:val="TOC1"/>
        <w:tabs>
          <w:tab w:val="right" w:leader="dot" w:pos="9350"/>
        </w:tabs>
        <w:jc w:val="center"/>
        <w:rPr>
          <w:rFonts w:ascii="Arial" w:hAnsi="Arial" w:cs="Arial"/>
          <w:smallCaps/>
        </w:rPr>
      </w:pPr>
      <w:r w:rsidRPr="00210A53">
        <w:rPr>
          <w:rFonts w:ascii="Arial" w:hAnsi="Arial" w:cs="Arial"/>
          <w:smallCaps/>
        </w:rPr>
        <w:t>Índice</w:t>
      </w:r>
    </w:p>
    <w:p w14:paraId="2EC634BD" w14:textId="3A6AD1D6" w:rsidR="00CC78EA" w:rsidRPr="00CC78EA" w:rsidRDefault="00361A79">
      <w:pPr>
        <w:pStyle w:val="TOC1"/>
        <w:tabs>
          <w:tab w:val="right" w:leader="dot" w:pos="9350"/>
        </w:tabs>
        <w:rPr>
          <w:rFonts w:ascii="Arial" w:eastAsiaTheme="minorEastAsia" w:hAnsi="Arial" w:cs="Arial"/>
          <w:b w:val="0"/>
          <w:noProof/>
        </w:rPr>
      </w:pPr>
      <w:r w:rsidRPr="00CC78EA">
        <w:rPr>
          <w:rFonts w:ascii="Arial" w:hAnsi="Arial" w:cs="Arial"/>
          <w:b w:val="0"/>
          <w:smallCaps/>
        </w:rPr>
        <w:fldChar w:fldCharType="begin"/>
      </w:r>
      <w:r w:rsidRPr="00CC78EA">
        <w:rPr>
          <w:rFonts w:ascii="Arial" w:hAnsi="Arial" w:cs="Arial"/>
          <w:smallCaps/>
        </w:rPr>
        <w:instrText xml:space="preserve"> TOC \o "1-3" </w:instrText>
      </w:r>
      <w:r w:rsidRPr="00CC78EA">
        <w:rPr>
          <w:rFonts w:ascii="Arial" w:hAnsi="Arial" w:cs="Arial"/>
          <w:b w:val="0"/>
          <w:smallCaps/>
        </w:rPr>
        <w:fldChar w:fldCharType="separate"/>
      </w:r>
      <w:r w:rsidR="00CC78EA" w:rsidRPr="00CC78EA">
        <w:rPr>
          <w:rFonts w:ascii="Arial" w:hAnsi="Arial" w:cs="Arial"/>
          <w:noProof/>
        </w:rPr>
        <w:t>Resumen</w:t>
      </w:r>
      <w:r w:rsidR="00CC78EA" w:rsidRPr="00CC78EA">
        <w:rPr>
          <w:rFonts w:ascii="Arial" w:hAnsi="Arial" w:cs="Arial"/>
          <w:noProof/>
        </w:rPr>
        <w:tab/>
      </w:r>
      <w:r w:rsidR="00CC78EA" w:rsidRPr="00CC78EA">
        <w:rPr>
          <w:rFonts w:ascii="Arial" w:hAnsi="Arial" w:cs="Arial"/>
          <w:noProof/>
        </w:rPr>
        <w:fldChar w:fldCharType="begin"/>
      </w:r>
      <w:r w:rsidR="00CC78EA" w:rsidRPr="00CC78EA">
        <w:rPr>
          <w:rFonts w:ascii="Arial" w:hAnsi="Arial" w:cs="Arial"/>
          <w:noProof/>
        </w:rPr>
        <w:instrText xml:space="preserve"> PAGEREF _Toc100512095 \h </w:instrText>
      </w:r>
      <w:r w:rsidR="00CC78EA" w:rsidRPr="00CC78EA">
        <w:rPr>
          <w:rFonts w:ascii="Arial" w:hAnsi="Arial" w:cs="Arial"/>
          <w:noProof/>
        </w:rPr>
      </w:r>
      <w:r w:rsidR="00CC78EA" w:rsidRPr="00CC78EA">
        <w:rPr>
          <w:rFonts w:ascii="Arial" w:hAnsi="Arial" w:cs="Arial"/>
          <w:noProof/>
        </w:rPr>
        <w:fldChar w:fldCharType="separate"/>
      </w:r>
      <w:r w:rsidR="00CC78EA" w:rsidRPr="00CC78EA">
        <w:rPr>
          <w:rFonts w:ascii="Arial" w:hAnsi="Arial" w:cs="Arial"/>
          <w:noProof/>
        </w:rPr>
        <w:t>1</w:t>
      </w:r>
      <w:r w:rsidR="00CC78EA" w:rsidRPr="00CC78EA">
        <w:rPr>
          <w:rFonts w:ascii="Arial" w:hAnsi="Arial" w:cs="Arial"/>
          <w:noProof/>
        </w:rPr>
        <w:fldChar w:fldCharType="end"/>
      </w:r>
    </w:p>
    <w:p w14:paraId="04E20C62" w14:textId="680AF809" w:rsidR="00CC78EA" w:rsidRPr="00CC78EA" w:rsidRDefault="00CC78EA">
      <w:pPr>
        <w:pStyle w:val="TOC1"/>
        <w:tabs>
          <w:tab w:val="right" w:leader="dot" w:pos="9350"/>
        </w:tabs>
        <w:rPr>
          <w:rFonts w:ascii="Arial" w:eastAsiaTheme="minorEastAsia" w:hAnsi="Arial" w:cs="Arial"/>
          <w:b w:val="0"/>
          <w:noProof/>
        </w:rPr>
      </w:pPr>
      <w:r w:rsidRPr="00CC78EA">
        <w:rPr>
          <w:rFonts w:ascii="Arial" w:eastAsia="Calibri" w:hAnsi="Arial" w:cs="Arial"/>
          <w:noProof/>
        </w:rPr>
        <w:t>I. Introducción</w:t>
      </w:r>
      <w:r w:rsidRPr="00CC78EA">
        <w:rPr>
          <w:rFonts w:ascii="Arial" w:hAnsi="Arial" w:cs="Arial"/>
          <w:noProof/>
        </w:rPr>
        <w:tab/>
      </w:r>
      <w:r w:rsidRPr="00CC78EA">
        <w:rPr>
          <w:rFonts w:ascii="Arial" w:hAnsi="Arial" w:cs="Arial"/>
          <w:noProof/>
        </w:rPr>
        <w:fldChar w:fldCharType="begin"/>
      </w:r>
      <w:r w:rsidRPr="00CC78EA">
        <w:rPr>
          <w:rFonts w:ascii="Arial" w:hAnsi="Arial" w:cs="Arial"/>
          <w:noProof/>
        </w:rPr>
        <w:instrText xml:space="preserve"> PAGEREF _Toc100512096 \h </w:instrText>
      </w:r>
      <w:r w:rsidRPr="00CC78EA">
        <w:rPr>
          <w:rFonts w:ascii="Arial" w:hAnsi="Arial" w:cs="Arial"/>
          <w:noProof/>
        </w:rPr>
      </w:r>
      <w:r w:rsidRPr="00CC78EA">
        <w:rPr>
          <w:rFonts w:ascii="Arial" w:hAnsi="Arial" w:cs="Arial"/>
          <w:noProof/>
        </w:rPr>
        <w:fldChar w:fldCharType="separate"/>
      </w:r>
      <w:r w:rsidRPr="00CC78EA">
        <w:rPr>
          <w:rFonts w:ascii="Arial" w:hAnsi="Arial" w:cs="Arial"/>
          <w:noProof/>
        </w:rPr>
        <w:t>3</w:t>
      </w:r>
      <w:r w:rsidRPr="00CC78EA">
        <w:rPr>
          <w:rFonts w:ascii="Arial" w:hAnsi="Arial" w:cs="Arial"/>
          <w:noProof/>
        </w:rPr>
        <w:fldChar w:fldCharType="end"/>
      </w:r>
    </w:p>
    <w:p w14:paraId="6F01B748" w14:textId="62A706C1" w:rsidR="00CC78EA" w:rsidRPr="00CC78EA" w:rsidRDefault="00CC78EA">
      <w:pPr>
        <w:pStyle w:val="TOC2"/>
        <w:tabs>
          <w:tab w:val="left" w:pos="720"/>
          <w:tab w:val="right" w:leader="dot" w:pos="9350"/>
        </w:tabs>
        <w:rPr>
          <w:rFonts w:ascii="Arial" w:eastAsiaTheme="minorEastAsia" w:hAnsi="Arial" w:cs="Arial"/>
          <w:i w:val="0"/>
          <w:noProof/>
        </w:rPr>
      </w:pPr>
      <w:r w:rsidRPr="00CC78EA">
        <w:rPr>
          <w:rFonts w:ascii="Arial" w:hAnsi="Arial" w:cs="Arial"/>
          <w:i w:val="0"/>
          <w:noProof/>
        </w:rPr>
        <w:t>A.</w:t>
      </w:r>
      <w:r w:rsidRPr="00CC78EA">
        <w:rPr>
          <w:rFonts w:ascii="Arial" w:eastAsiaTheme="minorEastAsia" w:hAnsi="Arial" w:cs="Arial"/>
          <w:i w:val="0"/>
          <w:noProof/>
        </w:rPr>
        <w:tab/>
      </w:r>
      <w:r w:rsidRPr="00CC78EA">
        <w:rPr>
          <w:rFonts w:ascii="Arial" w:hAnsi="Arial" w:cs="Arial"/>
          <w:i w:val="0"/>
          <w:noProof/>
        </w:rPr>
        <w:t>Antecedentes: el reto en materia de salud en el Estado de Sergipe</w:t>
      </w:r>
      <w:r w:rsidRPr="00CC78EA">
        <w:rPr>
          <w:rFonts w:ascii="Arial" w:hAnsi="Arial" w:cs="Arial"/>
          <w:i w:val="0"/>
          <w:noProof/>
        </w:rPr>
        <w:tab/>
      </w:r>
      <w:r w:rsidRPr="00CC78EA">
        <w:rPr>
          <w:rFonts w:ascii="Arial" w:hAnsi="Arial" w:cs="Arial"/>
          <w:i w:val="0"/>
          <w:noProof/>
        </w:rPr>
        <w:fldChar w:fldCharType="begin"/>
      </w:r>
      <w:r w:rsidRPr="00CC78EA">
        <w:rPr>
          <w:rFonts w:ascii="Arial" w:hAnsi="Arial" w:cs="Arial"/>
          <w:i w:val="0"/>
          <w:noProof/>
        </w:rPr>
        <w:instrText xml:space="preserve"> PAGEREF _Toc100512097 \h </w:instrText>
      </w:r>
      <w:r w:rsidRPr="00CC78EA">
        <w:rPr>
          <w:rFonts w:ascii="Arial" w:hAnsi="Arial" w:cs="Arial"/>
          <w:i w:val="0"/>
          <w:noProof/>
        </w:rPr>
      </w:r>
      <w:r w:rsidRPr="00CC78EA">
        <w:rPr>
          <w:rFonts w:ascii="Arial" w:hAnsi="Arial" w:cs="Arial"/>
          <w:i w:val="0"/>
          <w:noProof/>
        </w:rPr>
        <w:fldChar w:fldCharType="separate"/>
      </w:r>
      <w:r w:rsidRPr="00CC78EA">
        <w:rPr>
          <w:rFonts w:ascii="Arial" w:hAnsi="Arial" w:cs="Arial"/>
          <w:i w:val="0"/>
          <w:noProof/>
        </w:rPr>
        <w:t>3</w:t>
      </w:r>
      <w:r w:rsidRPr="00CC78EA">
        <w:rPr>
          <w:rFonts w:ascii="Arial" w:hAnsi="Arial" w:cs="Arial"/>
          <w:i w:val="0"/>
          <w:noProof/>
        </w:rPr>
        <w:fldChar w:fldCharType="end"/>
      </w:r>
    </w:p>
    <w:p w14:paraId="2FE14164" w14:textId="2FBC7EDF" w:rsidR="00CC78EA" w:rsidRPr="00CC78EA" w:rsidRDefault="00CC78EA">
      <w:pPr>
        <w:pStyle w:val="TOC2"/>
        <w:tabs>
          <w:tab w:val="left" w:pos="720"/>
          <w:tab w:val="right" w:leader="dot" w:pos="9350"/>
        </w:tabs>
        <w:rPr>
          <w:rFonts w:ascii="Arial" w:eastAsiaTheme="minorEastAsia" w:hAnsi="Arial" w:cs="Arial"/>
          <w:i w:val="0"/>
          <w:noProof/>
        </w:rPr>
      </w:pPr>
      <w:r w:rsidRPr="00CC78EA">
        <w:rPr>
          <w:rFonts w:ascii="Arial" w:hAnsi="Arial" w:cs="Arial"/>
          <w:i w:val="0"/>
          <w:noProof/>
        </w:rPr>
        <w:t>B.</w:t>
      </w:r>
      <w:r w:rsidRPr="00CC78EA">
        <w:rPr>
          <w:rFonts w:ascii="Arial" w:eastAsiaTheme="minorEastAsia" w:hAnsi="Arial" w:cs="Arial"/>
          <w:i w:val="0"/>
          <w:noProof/>
        </w:rPr>
        <w:tab/>
      </w:r>
      <w:r w:rsidRPr="00CC78EA">
        <w:rPr>
          <w:rFonts w:ascii="Arial" w:hAnsi="Arial" w:cs="Arial"/>
          <w:i w:val="0"/>
          <w:noProof/>
        </w:rPr>
        <w:t>Objetivos, Componentes y Costo</w:t>
      </w:r>
      <w:r w:rsidRPr="00CC78EA">
        <w:rPr>
          <w:rFonts w:ascii="Arial" w:hAnsi="Arial" w:cs="Arial"/>
          <w:i w:val="0"/>
          <w:noProof/>
        </w:rPr>
        <w:tab/>
      </w:r>
      <w:r w:rsidRPr="00CC78EA">
        <w:rPr>
          <w:rFonts w:ascii="Arial" w:hAnsi="Arial" w:cs="Arial"/>
          <w:i w:val="0"/>
          <w:noProof/>
        </w:rPr>
        <w:fldChar w:fldCharType="begin"/>
      </w:r>
      <w:r w:rsidRPr="00CC78EA">
        <w:rPr>
          <w:rFonts w:ascii="Arial" w:hAnsi="Arial" w:cs="Arial"/>
          <w:i w:val="0"/>
          <w:noProof/>
        </w:rPr>
        <w:instrText xml:space="preserve"> PAGEREF _Toc100512098 \h </w:instrText>
      </w:r>
      <w:r w:rsidRPr="00CC78EA">
        <w:rPr>
          <w:rFonts w:ascii="Arial" w:hAnsi="Arial" w:cs="Arial"/>
          <w:i w:val="0"/>
          <w:noProof/>
        </w:rPr>
      </w:r>
      <w:r w:rsidRPr="00CC78EA">
        <w:rPr>
          <w:rFonts w:ascii="Arial" w:hAnsi="Arial" w:cs="Arial"/>
          <w:i w:val="0"/>
          <w:noProof/>
        </w:rPr>
        <w:fldChar w:fldCharType="separate"/>
      </w:r>
      <w:r w:rsidRPr="00CC78EA">
        <w:rPr>
          <w:rFonts w:ascii="Arial" w:hAnsi="Arial" w:cs="Arial"/>
          <w:i w:val="0"/>
          <w:noProof/>
        </w:rPr>
        <w:t>4</w:t>
      </w:r>
      <w:r w:rsidRPr="00CC78EA">
        <w:rPr>
          <w:rFonts w:ascii="Arial" w:hAnsi="Arial" w:cs="Arial"/>
          <w:i w:val="0"/>
          <w:noProof/>
        </w:rPr>
        <w:fldChar w:fldCharType="end"/>
      </w:r>
    </w:p>
    <w:p w14:paraId="6F965318" w14:textId="5ABF4A0E" w:rsidR="00CC78EA" w:rsidRPr="00CC78EA" w:rsidRDefault="00CC78EA">
      <w:pPr>
        <w:pStyle w:val="TOC1"/>
        <w:tabs>
          <w:tab w:val="left" w:pos="480"/>
          <w:tab w:val="right" w:leader="dot" w:pos="9350"/>
        </w:tabs>
        <w:rPr>
          <w:rFonts w:ascii="Arial" w:eastAsiaTheme="minorEastAsia" w:hAnsi="Arial" w:cs="Arial"/>
          <w:b w:val="0"/>
          <w:noProof/>
        </w:rPr>
      </w:pPr>
      <w:r w:rsidRPr="00CC78EA">
        <w:rPr>
          <w:rFonts w:ascii="Arial" w:hAnsi="Arial" w:cs="Arial"/>
          <w:noProof/>
        </w:rPr>
        <w:t xml:space="preserve">II. </w:t>
      </w:r>
      <w:r w:rsidRPr="00CC78EA">
        <w:rPr>
          <w:rFonts w:ascii="Arial" w:eastAsiaTheme="minorEastAsia" w:hAnsi="Arial" w:cs="Arial"/>
          <w:b w:val="0"/>
          <w:noProof/>
        </w:rPr>
        <w:tab/>
      </w:r>
      <w:r w:rsidRPr="00CC78EA">
        <w:rPr>
          <w:rFonts w:ascii="Arial" w:hAnsi="Arial" w:cs="Arial"/>
          <w:noProof/>
        </w:rPr>
        <w:t>An</w:t>
      </w:r>
      <w:r w:rsidRPr="00CC78EA">
        <w:rPr>
          <w:rFonts w:ascii="Arial" w:eastAsia="Calibri" w:hAnsi="Arial" w:cs="Arial"/>
          <w:noProof/>
        </w:rPr>
        <w:t>álisis</w:t>
      </w:r>
      <w:r w:rsidRPr="00CC78EA">
        <w:rPr>
          <w:rFonts w:ascii="Arial" w:hAnsi="Arial" w:cs="Arial"/>
          <w:noProof/>
        </w:rPr>
        <w:t xml:space="preserve"> </w:t>
      </w:r>
      <w:r w:rsidRPr="00CC78EA">
        <w:rPr>
          <w:rFonts w:ascii="Arial" w:eastAsia="Calibri" w:hAnsi="Arial" w:cs="Arial"/>
          <w:noProof/>
        </w:rPr>
        <w:t>económico</w:t>
      </w:r>
      <w:r w:rsidRPr="00CC78EA">
        <w:rPr>
          <w:rFonts w:ascii="Arial" w:hAnsi="Arial" w:cs="Arial"/>
          <w:noProof/>
        </w:rPr>
        <w:tab/>
      </w:r>
      <w:r w:rsidRPr="00CC78EA">
        <w:rPr>
          <w:rFonts w:ascii="Arial" w:hAnsi="Arial" w:cs="Arial"/>
          <w:noProof/>
        </w:rPr>
        <w:fldChar w:fldCharType="begin"/>
      </w:r>
      <w:r w:rsidRPr="00CC78EA">
        <w:rPr>
          <w:rFonts w:ascii="Arial" w:hAnsi="Arial" w:cs="Arial"/>
          <w:noProof/>
        </w:rPr>
        <w:instrText xml:space="preserve"> PAGEREF _Toc100512099 \h </w:instrText>
      </w:r>
      <w:r w:rsidRPr="00CC78EA">
        <w:rPr>
          <w:rFonts w:ascii="Arial" w:hAnsi="Arial" w:cs="Arial"/>
          <w:noProof/>
        </w:rPr>
      </w:r>
      <w:r w:rsidRPr="00CC78EA">
        <w:rPr>
          <w:rFonts w:ascii="Arial" w:hAnsi="Arial" w:cs="Arial"/>
          <w:noProof/>
        </w:rPr>
        <w:fldChar w:fldCharType="separate"/>
      </w:r>
      <w:r w:rsidRPr="00CC78EA">
        <w:rPr>
          <w:rFonts w:ascii="Arial" w:hAnsi="Arial" w:cs="Arial"/>
          <w:noProof/>
        </w:rPr>
        <w:t>5</w:t>
      </w:r>
      <w:r w:rsidRPr="00CC78EA">
        <w:rPr>
          <w:rFonts w:ascii="Arial" w:hAnsi="Arial" w:cs="Arial"/>
          <w:noProof/>
        </w:rPr>
        <w:fldChar w:fldCharType="end"/>
      </w:r>
    </w:p>
    <w:p w14:paraId="74FEC1A4" w14:textId="52B0DDFB" w:rsidR="00CC78EA" w:rsidRPr="00CC78EA" w:rsidRDefault="00CC78EA">
      <w:pPr>
        <w:pStyle w:val="TOC2"/>
        <w:tabs>
          <w:tab w:val="right" w:leader="dot" w:pos="9350"/>
        </w:tabs>
        <w:rPr>
          <w:rFonts w:ascii="Arial" w:eastAsiaTheme="minorEastAsia" w:hAnsi="Arial" w:cs="Arial"/>
          <w:i w:val="0"/>
          <w:noProof/>
        </w:rPr>
      </w:pPr>
      <w:r w:rsidRPr="00CC78EA">
        <w:rPr>
          <w:rFonts w:ascii="Arial" w:hAnsi="Arial" w:cs="Arial"/>
          <w:i w:val="0"/>
          <w:noProof/>
        </w:rPr>
        <w:t>A. Metodología</w:t>
      </w:r>
      <w:r w:rsidRPr="00CC78EA">
        <w:rPr>
          <w:rFonts w:ascii="Arial" w:hAnsi="Arial" w:cs="Arial"/>
          <w:i w:val="0"/>
          <w:noProof/>
        </w:rPr>
        <w:tab/>
      </w:r>
      <w:r w:rsidRPr="00CC78EA">
        <w:rPr>
          <w:rFonts w:ascii="Arial" w:hAnsi="Arial" w:cs="Arial"/>
          <w:i w:val="0"/>
          <w:noProof/>
        </w:rPr>
        <w:fldChar w:fldCharType="begin"/>
      </w:r>
      <w:r w:rsidRPr="00CC78EA">
        <w:rPr>
          <w:rFonts w:ascii="Arial" w:hAnsi="Arial" w:cs="Arial"/>
          <w:i w:val="0"/>
          <w:noProof/>
        </w:rPr>
        <w:instrText xml:space="preserve"> PAGEREF _Toc100512100 \h </w:instrText>
      </w:r>
      <w:r w:rsidRPr="00CC78EA">
        <w:rPr>
          <w:rFonts w:ascii="Arial" w:hAnsi="Arial" w:cs="Arial"/>
          <w:i w:val="0"/>
          <w:noProof/>
        </w:rPr>
      </w:r>
      <w:r w:rsidRPr="00CC78EA">
        <w:rPr>
          <w:rFonts w:ascii="Arial" w:hAnsi="Arial" w:cs="Arial"/>
          <w:i w:val="0"/>
          <w:noProof/>
        </w:rPr>
        <w:fldChar w:fldCharType="separate"/>
      </w:r>
      <w:r w:rsidRPr="00CC78EA">
        <w:rPr>
          <w:rFonts w:ascii="Arial" w:hAnsi="Arial" w:cs="Arial"/>
          <w:i w:val="0"/>
          <w:noProof/>
        </w:rPr>
        <w:t>5</w:t>
      </w:r>
      <w:r w:rsidRPr="00CC78EA">
        <w:rPr>
          <w:rFonts w:ascii="Arial" w:hAnsi="Arial" w:cs="Arial"/>
          <w:i w:val="0"/>
          <w:noProof/>
        </w:rPr>
        <w:fldChar w:fldCharType="end"/>
      </w:r>
    </w:p>
    <w:p w14:paraId="6C57AF94" w14:textId="46746395" w:rsidR="00CC78EA" w:rsidRPr="00CC78EA" w:rsidRDefault="00CC78EA">
      <w:pPr>
        <w:pStyle w:val="TOC3"/>
        <w:tabs>
          <w:tab w:val="right" w:leader="dot" w:pos="9350"/>
        </w:tabs>
        <w:rPr>
          <w:rFonts w:ascii="Arial" w:eastAsiaTheme="minorEastAsia" w:hAnsi="Arial" w:cs="Arial"/>
          <w:noProof/>
        </w:rPr>
      </w:pPr>
      <w:r w:rsidRPr="00CC78EA">
        <w:rPr>
          <w:rFonts w:ascii="Arial" w:hAnsi="Arial" w:cs="Arial"/>
          <w:noProof/>
        </w:rPr>
        <w:t>Medida de efectividad de l</w:t>
      </w:r>
      <w:r w:rsidRPr="00CC78EA">
        <w:rPr>
          <w:rFonts w:ascii="Arial" w:eastAsia="Calibri" w:hAnsi="Arial" w:cs="Arial"/>
          <w:noProof/>
        </w:rPr>
        <w:t>íneas</w:t>
      </w:r>
      <w:r w:rsidRPr="00CC78EA">
        <w:rPr>
          <w:rFonts w:ascii="Arial" w:hAnsi="Arial" w:cs="Arial"/>
          <w:noProof/>
        </w:rPr>
        <w:t xml:space="preserve"> </w:t>
      </w:r>
      <w:r w:rsidRPr="00CC78EA">
        <w:rPr>
          <w:rFonts w:ascii="Arial" w:eastAsia="Calibri" w:hAnsi="Arial" w:cs="Arial"/>
          <w:noProof/>
        </w:rPr>
        <w:t>de</w:t>
      </w:r>
      <w:r w:rsidRPr="00CC78EA">
        <w:rPr>
          <w:rFonts w:ascii="Arial" w:hAnsi="Arial" w:cs="Arial"/>
          <w:noProof/>
        </w:rPr>
        <w:t xml:space="preserve"> </w:t>
      </w:r>
      <w:r w:rsidRPr="00CC78EA">
        <w:rPr>
          <w:rFonts w:ascii="Arial" w:eastAsia="Calibri" w:hAnsi="Arial" w:cs="Arial"/>
          <w:noProof/>
        </w:rPr>
        <w:t>atención</w:t>
      </w:r>
      <w:r w:rsidRPr="00CC78EA">
        <w:rPr>
          <w:rFonts w:ascii="Arial" w:hAnsi="Arial" w:cs="Arial"/>
          <w:noProof/>
        </w:rPr>
        <w:t xml:space="preserve"> </w:t>
      </w:r>
      <w:r w:rsidRPr="00CC78EA">
        <w:rPr>
          <w:rFonts w:ascii="Arial" w:eastAsia="Calibri" w:hAnsi="Arial" w:cs="Arial"/>
          <w:noProof/>
        </w:rPr>
        <w:t>en</w:t>
      </w:r>
      <w:r w:rsidRPr="00CC78EA">
        <w:rPr>
          <w:rFonts w:ascii="Arial" w:hAnsi="Arial" w:cs="Arial"/>
          <w:noProof/>
        </w:rPr>
        <w:t xml:space="preserve"> AVADs</w:t>
      </w:r>
      <w:r w:rsidRPr="00CC78EA">
        <w:rPr>
          <w:rFonts w:ascii="Arial" w:hAnsi="Arial" w:cs="Arial"/>
          <w:noProof/>
        </w:rPr>
        <w:tab/>
      </w:r>
      <w:r w:rsidRPr="00CC78EA">
        <w:rPr>
          <w:rFonts w:ascii="Arial" w:hAnsi="Arial" w:cs="Arial"/>
          <w:noProof/>
        </w:rPr>
        <w:fldChar w:fldCharType="begin"/>
      </w:r>
      <w:r w:rsidRPr="00CC78EA">
        <w:rPr>
          <w:rFonts w:ascii="Arial" w:hAnsi="Arial" w:cs="Arial"/>
          <w:noProof/>
        </w:rPr>
        <w:instrText xml:space="preserve"> PAGEREF _Toc100512101 \h </w:instrText>
      </w:r>
      <w:r w:rsidRPr="00CC78EA">
        <w:rPr>
          <w:rFonts w:ascii="Arial" w:hAnsi="Arial" w:cs="Arial"/>
          <w:noProof/>
        </w:rPr>
      </w:r>
      <w:r w:rsidRPr="00CC78EA">
        <w:rPr>
          <w:rFonts w:ascii="Arial" w:hAnsi="Arial" w:cs="Arial"/>
          <w:noProof/>
        </w:rPr>
        <w:fldChar w:fldCharType="separate"/>
      </w:r>
      <w:r w:rsidRPr="00CC78EA">
        <w:rPr>
          <w:rFonts w:ascii="Arial" w:hAnsi="Arial" w:cs="Arial"/>
          <w:noProof/>
        </w:rPr>
        <w:t>5</w:t>
      </w:r>
      <w:r w:rsidRPr="00CC78EA">
        <w:rPr>
          <w:rFonts w:ascii="Arial" w:hAnsi="Arial" w:cs="Arial"/>
          <w:noProof/>
        </w:rPr>
        <w:fldChar w:fldCharType="end"/>
      </w:r>
    </w:p>
    <w:p w14:paraId="7AF7BC78" w14:textId="12A16A9E" w:rsidR="00CC78EA" w:rsidRPr="00CC78EA" w:rsidRDefault="00CC78EA">
      <w:pPr>
        <w:pStyle w:val="TOC3"/>
        <w:tabs>
          <w:tab w:val="right" w:leader="dot" w:pos="9350"/>
        </w:tabs>
        <w:rPr>
          <w:rFonts w:ascii="Arial" w:eastAsiaTheme="minorEastAsia" w:hAnsi="Arial" w:cs="Arial"/>
          <w:noProof/>
        </w:rPr>
      </w:pPr>
      <w:r w:rsidRPr="00CC78EA">
        <w:rPr>
          <w:rFonts w:ascii="Arial" w:hAnsi="Arial" w:cs="Arial"/>
          <w:noProof/>
        </w:rPr>
        <w:t>Medida de transformación digital</w:t>
      </w:r>
      <w:r w:rsidRPr="00CC78EA">
        <w:rPr>
          <w:rFonts w:ascii="Arial" w:hAnsi="Arial" w:cs="Arial"/>
          <w:noProof/>
        </w:rPr>
        <w:tab/>
      </w:r>
      <w:r w:rsidRPr="00CC78EA">
        <w:rPr>
          <w:rFonts w:ascii="Arial" w:hAnsi="Arial" w:cs="Arial"/>
          <w:noProof/>
        </w:rPr>
        <w:fldChar w:fldCharType="begin"/>
      </w:r>
      <w:r w:rsidRPr="00CC78EA">
        <w:rPr>
          <w:rFonts w:ascii="Arial" w:hAnsi="Arial" w:cs="Arial"/>
          <w:noProof/>
        </w:rPr>
        <w:instrText xml:space="preserve"> PAGEREF _Toc100512102 \h </w:instrText>
      </w:r>
      <w:r w:rsidRPr="00CC78EA">
        <w:rPr>
          <w:rFonts w:ascii="Arial" w:hAnsi="Arial" w:cs="Arial"/>
          <w:noProof/>
        </w:rPr>
      </w:r>
      <w:r w:rsidRPr="00CC78EA">
        <w:rPr>
          <w:rFonts w:ascii="Arial" w:hAnsi="Arial" w:cs="Arial"/>
          <w:noProof/>
        </w:rPr>
        <w:fldChar w:fldCharType="separate"/>
      </w:r>
      <w:r w:rsidRPr="00CC78EA">
        <w:rPr>
          <w:rFonts w:ascii="Arial" w:hAnsi="Arial" w:cs="Arial"/>
          <w:noProof/>
        </w:rPr>
        <w:t>8</w:t>
      </w:r>
      <w:r w:rsidRPr="00CC78EA">
        <w:rPr>
          <w:rFonts w:ascii="Arial" w:hAnsi="Arial" w:cs="Arial"/>
          <w:noProof/>
        </w:rPr>
        <w:fldChar w:fldCharType="end"/>
      </w:r>
    </w:p>
    <w:p w14:paraId="0D06439A" w14:textId="7A5263BA" w:rsidR="00CC78EA" w:rsidRPr="00CC78EA" w:rsidRDefault="00CC78EA">
      <w:pPr>
        <w:pStyle w:val="TOC2"/>
        <w:tabs>
          <w:tab w:val="right" w:leader="dot" w:pos="9350"/>
        </w:tabs>
        <w:rPr>
          <w:rFonts w:ascii="Arial" w:eastAsiaTheme="minorEastAsia" w:hAnsi="Arial" w:cs="Arial"/>
          <w:i w:val="0"/>
          <w:noProof/>
        </w:rPr>
      </w:pPr>
      <w:r w:rsidRPr="00CC78EA">
        <w:rPr>
          <w:rFonts w:ascii="Arial" w:hAnsi="Arial" w:cs="Arial"/>
          <w:i w:val="0"/>
          <w:noProof/>
        </w:rPr>
        <w:t>B. Evaluaci</w:t>
      </w:r>
      <w:r w:rsidRPr="00CC78EA">
        <w:rPr>
          <w:rFonts w:ascii="Arial" w:eastAsia="Calibri" w:hAnsi="Arial" w:cs="Arial"/>
          <w:i w:val="0"/>
          <w:noProof/>
        </w:rPr>
        <w:t>ón</w:t>
      </w:r>
      <w:r w:rsidRPr="00CC78EA">
        <w:rPr>
          <w:rFonts w:ascii="Arial" w:hAnsi="Arial" w:cs="Arial"/>
          <w:i w:val="0"/>
          <w:noProof/>
        </w:rPr>
        <w:t xml:space="preserve"> econ</w:t>
      </w:r>
      <w:r w:rsidRPr="00CC78EA">
        <w:rPr>
          <w:rFonts w:ascii="Arial" w:eastAsia="Calibri" w:hAnsi="Arial" w:cs="Arial"/>
          <w:i w:val="0"/>
          <w:noProof/>
        </w:rPr>
        <w:t>ómica</w:t>
      </w:r>
      <w:r w:rsidRPr="00CC78EA">
        <w:rPr>
          <w:rFonts w:ascii="Arial" w:hAnsi="Arial" w:cs="Arial"/>
          <w:i w:val="0"/>
          <w:noProof/>
        </w:rPr>
        <w:tab/>
      </w:r>
      <w:r w:rsidRPr="00CC78EA">
        <w:rPr>
          <w:rFonts w:ascii="Arial" w:hAnsi="Arial" w:cs="Arial"/>
          <w:i w:val="0"/>
          <w:noProof/>
        </w:rPr>
        <w:fldChar w:fldCharType="begin"/>
      </w:r>
      <w:r w:rsidRPr="00CC78EA">
        <w:rPr>
          <w:rFonts w:ascii="Arial" w:hAnsi="Arial" w:cs="Arial"/>
          <w:i w:val="0"/>
          <w:noProof/>
        </w:rPr>
        <w:instrText xml:space="preserve"> PAGEREF _Toc100512103 \h </w:instrText>
      </w:r>
      <w:r w:rsidRPr="00CC78EA">
        <w:rPr>
          <w:rFonts w:ascii="Arial" w:hAnsi="Arial" w:cs="Arial"/>
          <w:i w:val="0"/>
          <w:noProof/>
        </w:rPr>
      </w:r>
      <w:r w:rsidRPr="00CC78EA">
        <w:rPr>
          <w:rFonts w:ascii="Arial" w:hAnsi="Arial" w:cs="Arial"/>
          <w:i w:val="0"/>
          <w:noProof/>
        </w:rPr>
        <w:fldChar w:fldCharType="separate"/>
      </w:r>
      <w:r w:rsidRPr="00CC78EA">
        <w:rPr>
          <w:rFonts w:ascii="Arial" w:hAnsi="Arial" w:cs="Arial"/>
          <w:i w:val="0"/>
          <w:noProof/>
        </w:rPr>
        <w:t>9</w:t>
      </w:r>
      <w:r w:rsidRPr="00CC78EA">
        <w:rPr>
          <w:rFonts w:ascii="Arial" w:hAnsi="Arial" w:cs="Arial"/>
          <w:i w:val="0"/>
          <w:noProof/>
        </w:rPr>
        <w:fldChar w:fldCharType="end"/>
      </w:r>
    </w:p>
    <w:p w14:paraId="445C3619" w14:textId="55DC0943" w:rsidR="00CC78EA" w:rsidRPr="00CC78EA" w:rsidRDefault="00CC78EA">
      <w:pPr>
        <w:pStyle w:val="TOC3"/>
        <w:tabs>
          <w:tab w:val="right" w:leader="dot" w:pos="9350"/>
        </w:tabs>
        <w:rPr>
          <w:rFonts w:ascii="Arial" w:eastAsiaTheme="minorEastAsia" w:hAnsi="Arial" w:cs="Arial"/>
          <w:noProof/>
        </w:rPr>
      </w:pPr>
      <w:r w:rsidRPr="00CC78EA">
        <w:rPr>
          <w:rFonts w:ascii="Arial" w:hAnsi="Arial" w:cs="Arial"/>
          <w:noProof/>
        </w:rPr>
        <w:t>Componente 1-2</w:t>
      </w:r>
      <w:r w:rsidRPr="00CC78EA">
        <w:rPr>
          <w:rFonts w:ascii="Arial" w:hAnsi="Arial" w:cs="Arial"/>
          <w:noProof/>
        </w:rPr>
        <w:tab/>
      </w:r>
      <w:r w:rsidRPr="00CC78EA">
        <w:rPr>
          <w:rFonts w:ascii="Arial" w:hAnsi="Arial" w:cs="Arial"/>
          <w:noProof/>
        </w:rPr>
        <w:fldChar w:fldCharType="begin"/>
      </w:r>
      <w:r w:rsidRPr="00CC78EA">
        <w:rPr>
          <w:rFonts w:ascii="Arial" w:hAnsi="Arial" w:cs="Arial"/>
          <w:noProof/>
        </w:rPr>
        <w:instrText xml:space="preserve"> PAGEREF _Toc100512104 \h </w:instrText>
      </w:r>
      <w:r w:rsidRPr="00CC78EA">
        <w:rPr>
          <w:rFonts w:ascii="Arial" w:hAnsi="Arial" w:cs="Arial"/>
          <w:noProof/>
        </w:rPr>
      </w:r>
      <w:r w:rsidRPr="00CC78EA">
        <w:rPr>
          <w:rFonts w:ascii="Arial" w:hAnsi="Arial" w:cs="Arial"/>
          <w:noProof/>
        </w:rPr>
        <w:fldChar w:fldCharType="separate"/>
      </w:r>
      <w:r w:rsidRPr="00CC78EA">
        <w:rPr>
          <w:rFonts w:ascii="Arial" w:hAnsi="Arial" w:cs="Arial"/>
          <w:noProof/>
        </w:rPr>
        <w:t>9</w:t>
      </w:r>
      <w:r w:rsidRPr="00CC78EA">
        <w:rPr>
          <w:rFonts w:ascii="Arial" w:hAnsi="Arial" w:cs="Arial"/>
          <w:noProof/>
        </w:rPr>
        <w:fldChar w:fldCharType="end"/>
      </w:r>
    </w:p>
    <w:p w14:paraId="20943E0B" w14:textId="71FB6EF1" w:rsidR="00CC78EA" w:rsidRPr="00CC78EA" w:rsidRDefault="00CC78EA">
      <w:pPr>
        <w:pStyle w:val="TOC3"/>
        <w:tabs>
          <w:tab w:val="right" w:leader="dot" w:pos="9350"/>
        </w:tabs>
        <w:rPr>
          <w:rFonts w:ascii="Arial" w:eastAsiaTheme="minorEastAsia" w:hAnsi="Arial" w:cs="Arial"/>
          <w:noProof/>
        </w:rPr>
      </w:pPr>
      <w:r w:rsidRPr="00CC78EA">
        <w:rPr>
          <w:rFonts w:ascii="Arial" w:hAnsi="Arial" w:cs="Arial"/>
          <w:noProof/>
        </w:rPr>
        <w:t>Componente 3</w:t>
      </w:r>
      <w:r w:rsidRPr="00CC78EA">
        <w:rPr>
          <w:rFonts w:ascii="Arial" w:hAnsi="Arial" w:cs="Arial"/>
          <w:noProof/>
        </w:rPr>
        <w:tab/>
      </w:r>
      <w:r w:rsidRPr="00CC78EA">
        <w:rPr>
          <w:rFonts w:ascii="Arial" w:hAnsi="Arial" w:cs="Arial"/>
          <w:noProof/>
        </w:rPr>
        <w:fldChar w:fldCharType="begin"/>
      </w:r>
      <w:r w:rsidRPr="00CC78EA">
        <w:rPr>
          <w:rFonts w:ascii="Arial" w:hAnsi="Arial" w:cs="Arial"/>
          <w:noProof/>
        </w:rPr>
        <w:instrText xml:space="preserve"> PAGEREF _Toc100512105 \h </w:instrText>
      </w:r>
      <w:r w:rsidRPr="00CC78EA">
        <w:rPr>
          <w:rFonts w:ascii="Arial" w:hAnsi="Arial" w:cs="Arial"/>
          <w:noProof/>
        </w:rPr>
      </w:r>
      <w:r w:rsidRPr="00CC78EA">
        <w:rPr>
          <w:rFonts w:ascii="Arial" w:hAnsi="Arial" w:cs="Arial"/>
          <w:noProof/>
        </w:rPr>
        <w:fldChar w:fldCharType="separate"/>
      </w:r>
      <w:r w:rsidRPr="00CC78EA">
        <w:rPr>
          <w:rFonts w:ascii="Arial" w:hAnsi="Arial" w:cs="Arial"/>
          <w:noProof/>
        </w:rPr>
        <w:t>13</w:t>
      </w:r>
      <w:r w:rsidRPr="00CC78EA">
        <w:rPr>
          <w:rFonts w:ascii="Arial" w:hAnsi="Arial" w:cs="Arial"/>
          <w:noProof/>
        </w:rPr>
        <w:fldChar w:fldCharType="end"/>
      </w:r>
    </w:p>
    <w:p w14:paraId="721CE11E" w14:textId="7F75E5EC" w:rsidR="00CC78EA" w:rsidRPr="00CC78EA" w:rsidRDefault="00CC78EA">
      <w:pPr>
        <w:pStyle w:val="TOC2"/>
        <w:tabs>
          <w:tab w:val="right" w:leader="dot" w:pos="9350"/>
        </w:tabs>
        <w:rPr>
          <w:rFonts w:ascii="Arial" w:eastAsiaTheme="minorEastAsia" w:hAnsi="Arial" w:cs="Arial"/>
          <w:i w:val="0"/>
          <w:noProof/>
        </w:rPr>
      </w:pPr>
      <w:r w:rsidRPr="00CC78EA">
        <w:rPr>
          <w:rFonts w:ascii="Arial" w:hAnsi="Arial" w:cs="Arial"/>
          <w:i w:val="0"/>
          <w:noProof/>
        </w:rPr>
        <w:t>C. An</w:t>
      </w:r>
      <w:r w:rsidRPr="00CC78EA">
        <w:rPr>
          <w:rFonts w:ascii="Arial" w:eastAsia="Calibri" w:hAnsi="Arial" w:cs="Arial"/>
          <w:i w:val="0"/>
          <w:noProof/>
        </w:rPr>
        <w:t>álisis</w:t>
      </w:r>
      <w:r w:rsidRPr="00CC78EA">
        <w:rPr>
          <w:rFonts w:ascii="Arial" w:hAnsi="Arial" w:cs="Arial"/>
          <w:i w:val="0"/>
          <w:noProof/>
        </w:rPr>
        <w:t xml:space="preserve"> </w:t>
      </w:r>
      <w:r w:rsidRPr="00CC78EA">
        <w:rPr>
          <w:rFonts w:ascii="Arial" w:eastAsia="Calibri" w:hAnsi="Arial" w:cs="Arial"/>
          <w:i w:val="0"/>
          <w:noProof/>
        </w:rPr>
        <w:t>costo</w:t>
      </w:r>
      <w:r w:rsidRPr="00CC78EA">
        <w:rPr>
          <w:rFonts w:ascii="Arial" w:hAnsi="Arial" w:cs="Arial"/>
          <w:i w:val="0"/>
          <w:noProof/>
        </w:rPr>
        <w:t xml:space="preserve"> – </w:t>
      </w:r>
      <w:r w:rsidRPr="00CC78EA">
        <w:rPr>
          <w:rFonts w:ascii="Arial" w:eastAsia="Calibri" w:hAnsi="Arial" w:cs="Arial"/>
          <w:i w:val="0"/>
          <w:noProof/>
        </w:rPr>
        <w:t>beneficio</w:t>
      </w:r>
      <w:r w:rsidRPr="00CC78EA">
        <w:rPr>
          <w:rFonts w:ascii="Arial" w:hAnsi="Arial" w:cs="Arial"/>
          <w:i w:val="0"/>
          <w:noProof/>
        </w:rPr>
        <w:tab/>
      </w:r>
      <w:r w:rsidRPr="00CC78EA">
        <w:rPr>
          <w:rFonts w:ascii="Arial" w:hAnsi="Arial" w:cs="Arial"/>
          <w:i w:val="0"/>
          <w:noProof/>
        </w:rPr>
        <w:fldChar w:fldCharType="begin"/>
      </w:r>
      <w:r w:rsidRPr="00CC78EA">
        <w:rPr>
          <w:rFonts w:ascii="Arial" w:hAnsi="Arial" w:cs="Arial"/>
          <w:i w:val="0"/>
          <w:noProof/>
        </w:rPr>
        <w:instrText xml:space="preserve"> PAGEREF _Toc100512106 \h </w:instrText>
      </w:r>
      <w:r w:rsidRPr="00CC78EA">
        <w:rPr>
          <w:rFonts w:ascii="Arial" w:hAnsi="Arial" w:cs="Arial"/>
          <w:i w:val="0"/>
          <w:noProof/>
        </w:rPr>
      </w:r>
      <w:r w:rsidRPr="00CC78EA">
        <w:rPr>
          <w:rFonts w:ascii="Arial" w:hAnsi="Arial" w:cs="Arial"/>
          <w:i w:val="0"/>
          <w:noProof/>
        </w:rPr>
        <w:fldChar w:fldCharType="separate"/>
      </w:r>
      <w:r w:rsidRPr="00CC78EA">
        <w:rPr>
          <w:rFonts w:ascii="Arial" w:hAnsi="Arial" w:cs="Arial"/>
          <w:i w:val="0"/>
          <w:noProof/>
        </w:rPr>
        <w:t>16</w:t>
      </w:r>
      <w:r w:rsidRPr="00CC78EA">
        <w:rPr>
          <w:rFonts w:ascii="Arial" w:hAnsi="Arial" w:cs="Arial"/>
          <w:i w:val="0"/>
          <w:noProof/>
        </w:rPr>
        <w:fldChar w:fldCharType="end"/>
      </w:r>
    </w:p>
    <w:p w14:paraId="58F533C8" w14:textId="34B3D4E7" w:rsidR="00CC78EA" w:rsidRPr="00C7688D" w:rsidRDefault="00CC78EA">
      <w:pPr>
        <w:pStyle w:val="TOC3"/>
        <w:tabs>
          <w:tab w:val="right" w:leader="dot" w:pos="9350"/>
        </w:tabs>
        <w:rPr>
          <w:rFonts w:ascii="Arial" w:eastAsiaTheme="minorEastAsia" w:hAnsi="Arial" w:cs="Arial"/>
          <w:noProof/>
        </w:rPr>
      </w:pPr>
      <w:r w:rsidRPr="00CC78EA">
        <w:rPr>
          <w:rFonts w:ascii="Arial" w:hAnsi="Arial" w:cs="Arial"/>
          <w:noProof/>
        </w:rPr>
        <w:t>Componente 1-2</w:t>
      </w:r>
      <w:r w:rsidRPr="00CC78EA">
        <w:rPr>
          <w:rFonts w:ascii="Arial" w:hAnsi="Arial" w:cs="Arial"/>
          <w:noProof/>
        </w:rPr>
        <w:tab/>
      </w:r>
      <w:r w:rsidRPr="00CC78EA">
        <w:rPr>
          <w:rFonts w:ascii="Arial" w:hAnsi="Arial" w:cs="Arial"/>
          <w:noProof/>
        </w:rPr>
        <w:fldChar w:fldCharType="begin"/>
      </w:r>
      <w:r w:rsidRPr="00CC78EA">
        <w:rPr>
          <w:rFonts w:ascii="Arial" w:hAnsi="Arial" w:cs="Arial"/>
          <w:noProof/>
        </w:rPr>
        <w:instrText xml:space="preserve"> PAGEREF _Toc100512107 \h </w:instrText>
      </w:r>
      <w:r w:rsidRPr="00CC78EA">
        <w:rPr>
          <w:rFonts w:ascii="Arial" w:hAnsi="Arial" w:cs="Arial"/>
          <w:noProof/>
        </w:rPr>
      </w:r>
      <w:r w:rsidRPr="00CC78EA">
        <w:rPr>
          <w:rFonts w:ascii="Arial" w:hAnsi="Arial" w:cs="Arial"/>
          <w:noProof/>
        </w:rPr>
        <w:fldChar w:fldCharType="separate"/>
      </w:r>
      <w:r w:rsidRPr="00CC78EA">
        <w:rPr>
          <w:rFonts w:ascii="Arial" w:hAnsi="Arial" w:cs="Arial"/>
          <w:noProof/>
        </w:rPr>
        <w:t>16</w:t>
      </w:r>
      <w:r w:rsidRPr="00CC78EA">
        <w:rPr>
          <w:rFonts w:ascii="Arial" w:hAnsi="Arial" w:cs="Arial"/>
          <w:noProof/>
        </w:rPr>
        <w:fldChar w:fldCharType="end"/>
      </w:r>
    </w:p>
    <w:p w14:paraId="51D07179" w14:textId="0872BC70" w:rsidR="00CC78EA" w:rsidRPr="00C7688D" w:rsidRDefault="00CC78EA">
      <w:pPr>
        <w:pStyle w:val="TOC3"/>
        <w:tabs>
          <w:tab w:val="right" w:leader="dot" w:pos="9350"/>
        </w:tabs>
        <w:rPr>
          <w:rFonts w:ascii="Arial" w:eastAsiaTheme="minorEastAsia" w:hAnsi="Arial" w:cs="Arial"/>
          <w:noProof/>
        </w:rPr>
      </w:pPr>
      <w:r w:rsidRPr="00CC78EA">
        <w:rPr>
          <w:rFonts w:ascii="Arial" w:hAnsi="Arial" w:cs="Arial"/>
          <w:noProof/>
        </w:rPr>
        <w:t>Componente 3</w:t>
      </w:r>
      <w:r w:rsidRPr="00CC78EA">
        <w:rPr>
          <w:rFonts w:ascii="Arial" w:hAnsi="Arial" w:cs="Arial"/>
          <w:noProof/>
        </w:rPr>
        <w:tab/>
      </w:r>
      <w:r w:rsidRPr="00CC78EA">
        <w:rPr>
          <w:rFonts w:ascii="Arial" w:hAnsi="Arial" w:cs="Arial"/>
          <w:noProof/>
        </w:rPr>
        <w:fldChar w:fldCharType="begin"/>
      </w:r>
      <w:r w:rsidRPr="00CC78EA">
        <w:rPr>
          <w:rFonts w:ascii="Arial" w:hAnsi="Arial" w:cs="Arial"/>
          <w:noProof/>
        </w:rPr>
        <w:instrText xml:space="preserve"> PAGEREF _Toc100512108 \h </w:instrText>
      </w:r>
      <w:r w:rsidRPr="00CC78EA">
        <w:rPr>
          <w:rFonts w:ascii="Arial" w:hAnsi="Arial" w:cs="Arial"/>
          <w:noProof/>
        </w:rPr>
      </w:r>
      <w:r w:rsidRPr="00CC78EA">
        <w:rPr>
          <w:rFonts w:ascii="Arial" w:hAnsi="Arial" w:cs="Arial"/>
          <w:noProof/>
        </w:rPr>
        <w:fldChar w:fldCharType="separate"/>
      </w:r>
      <w:r w:rsidRPr="00CC78EA">
        <w:rPr>
          <w:rFonts w:ascii="Arial" w:hAnsi="Arial" w:cs="Arial"/>
          <w:noProof/>
        </w:rPr>
        <w:t>18</w:t>
      </w:r>
      <w:r w:rsidRPr="00CC78EA">
        <w:rPr>
          <w:rFonts w:ascii="Arial" w:hAnsi="Arial" w:cs="Arial"/>
          <w:noProof/>
        </w:rPr>
        <w:fldChar w:fldCharType="end"/>
      </w:r>
    </w:p>
    <w:p w14:paraId="449E056D" w14:textId="696CA7EA" w:rsidR="00CC78EA" w:rsidRPr="00C7688D" w:rsidRDefault="00CC78EA">
      <w:pPr>
        <w:pStyle w:val="TOC3"/>
        <w:tabs>
          <w:tab w:val="right" w:leader="dot" w:pos="9350"/>
        </w:tabs>
        <w:rPr>
          <w:rFonts w:ascii="Arial" w:eastAsiaTheme="minorEastAsia" w:hAnsi="Arial" w:cs="Arial"/>
          <w:noProof/>
        </w:rPr>
      </w:pPr>
      <w:r w:rsidRPr="00CC78EA">
        <w:rPr>
          <w:rFonts w:ascii="Arial" w:hAnsi="Arial" w:cs="Arial"/>
          <w:noProof/>
        </w:rPr>
        <w:t>Costo – beneficio conjunto</w:t>
      </w:r>
      <w:r w:rsidRPr="00CC78EA">
        <w:rPr>
          <w:rFonts w:ascii="Arial" w:hAnsi="Arial" w:cs="Arial"/>
          <w:noProof/>
        </w:rPr>
        <w:tab/>
      </w:r>
      <w:r w:rsidRPr="00CC78EA">
        <w:rPr>
          <w:rFonts w:ascii="Arial" w:hAnsi="Arial" w:cs="Arial"/>
          <w:noProof/>
        </w:rPr>
        <w:fldChar w:fldCharType="begin"/>
      </w:r>
      <w:r w:rsidRPr="00CC78EA">
        <w:rPr>
          <w:rFonts w:ascii="Arial" w:hAnsi="Arial" w:cs="Arial"/>
          <w:noProof/>
        </w:rPr>
        <w:instrText xml:space="preserve"> PAGEREF _Toc100512109 \h </w:instrText>
      </w:r>
      <w:r w:rsidRPr="00CC78EA">
        <w:rPr>
          <w:rFonts w:ascii="Arial" w:hAnsi="Arial" w:cs="Arial"/>
          <w:noProof/>
        </w:rPr>
      </w:r>
      <w:r w:rsidRPr="00CC78EA">
        <w:rPr>
          <w:rFonts w:ascii="Arial" w:hAnsi="Arial" w:cs="Arial"/>
          <w:noProof/>
        </w:rPr>
        <w:fldChar w:fldCharType="separate"/>
      </w:r>
      <w:r w:rsidRPr="00CC78EA">
        <w:rPr>
          <w:rFonts w:ascii="Arial" w:hAnsi="Arial" w:cs="Arial"/>
          <w:noProof/>
        </w:rPr>
        <w:t>20</w:t>
      </w:r>
      <w:r w:rsidRPr="00CC78EA">
        <w:rPr>
          <w:rFonts w:ascii="Arial" w:hAnsi="Arial" w:cs="Arial"/>
          <w:noProof/>
        </w:rPr>
        <w:fldChar w:fldCharType="end"/>
      </w:r>
    </w:p>
    <w:p w14:paraId="40689083" w14:textId="7D42F199" w:rsidR="00361A79" w:rsidRPr="00210A53" w:rsidRDefault="00361A79" w:rsidP="001025F1">
      <w:pPr>
        <w:tabs>
          <w:tab w:val="left" w:pos="1440"/>
          <w:tab w:val="left" w:pos="3060"/>
        </w:tabs>
        <w:spacing w:after="100" w:afterAutospacing="1"/>
        <w:jc w:val="center"/>
        <w:rPr>
          <w:rFonts w:ascii="Arial" w:hAnsi="Arial" w:cs="Arial"/>
          <w:b/>
          <w:smallCaps/>
          <w:sz w:val="22"/>
          <w:szCs w:val="22"/>
        </w:rPr>
      </w:pPr>
      <w:r w:rsidRPr="00CC78EA">
        <w:rPr>
          <w:rFonts w:ascii="Arial" w:hAnsi="Arial" w:cs="Arial"/>
          <w:b/>
          <w:smallCaps/>
          <w:sz w:val="22"/>
          <w:szCs w:val="22"/>
        </w:rPr>
        <w:fldChar w:fldCharType="end"/>
      </w:r>
    </w:p>
    <w:p w14:paraId="067CCA29" w14:textId="1049EFFA" w:rsidR="00890E4E" w:rsidRPr="00210A53" w:rsidRDefault="00A719A7" w:rsidP="001025F1">
      <w:pPr>
        <w:spacing w:after="100" w:afterAutospacing="1"/>
        <w:rPr>
          <w:rFonts w:ascii="Arial" w:eastAsia="Arial Unicode MS" w:hAnsi="Arial" w:cs="Arial"/>
          <w:bCs/>
          <w:smallCaps/>
          <w:sz w:val="22"/>
          <w:szCs w:val="22"/>
        </w:rPr>
      </w:pPr>
      <w:r w:rsidRPr="00210A53">
        <w:rPr>
          <w:rFonts w:ascii="Arial" w:eastAsia="Arial Unicode MS" w:hAnsi="Arial" w:cs="Arial"/>
          <w:bCs/>
          <w:smallCaps/>
          <w:sz w:val="22"/>
          <w:szCs w:val="22"/>
        </w:rPr>
        <w:br w:type="page"/>
      </w:r>
    </w:p>
    <w:p w14:paraId="7C642ED4" w14:textId="77777777" w:rsidR="008242ED" w:rsidRPr="00210A53" w:rsidRDefault="008242ED" w:rsidP="00216A0C">
      <w:pPr>
        <w:pStyle w:val="Heading1"/>
        <w:rPr>
          <w:szCs w:val="22"/>
          <w:lang w:val="es-419"/>
        </w:rPr>
      </w:pPr>
      <w:bookmarkStart w:id="3" w:name="_Toc296257181"/>
      <w:bookmarkStart w:id="4" w:name="_Toc513465007"/>
      <w:bookmarkStart w:id="5" w:name="_Toc100512095"/>
      <w:r w:rsidRPr="00210A53">
        <w:rPr>
          <w:szCs w:val="22"/>
          <w:lang w:val="es-419"/>
        </w:rPr>
        <w:lastRenderedPageBreak/>
        <w:t>Resumen</w:t>
      </w:r>
      <w:bookmarkEnd w:id="3"/>
      <w:bookmarkEnd w:id="4"/>
      <w:bookmarkEnd w:id="5"/>
    </w:p>
    <w:p w14:paraId="310E2CAA" w14:textId="17CFA507" w:rsidR="00BA470E" w:rsidRDefault="44963033" w:rsidP="027F12FB">
      <w:pPr>
        <w:spacing w:before="120" w:after="100" w:afterAutospacing="1"/>
        <w:jc w:val="both"/>
        <w:rPr>
          <w:rFonts w:ascii="Arial" w:hAnsi="Arial" w:cs="Arial"/>
          <w:sz w:val="22"/>
          <w:szCs w:val="22"/>
        </w:rPr>
      </w:pPr>
      <w:bookmarkStart w:id="6" w:name="_Hlk77060917"/>
      <w:r w:rsidRPr="027F12FB">
        <w:rPr>
          <w:rFonts w:ascii="Arial" w:hAnsi="Arial" w:cs="Arial"/>
          <w:sz w:val="22"/>
          <w:szCs w:val="22"/>
        </w:rPr>
        <w:t xml:space="preserve">Este documento desarrolla el enfoque y los resultados del análisis económico del Programa de Fortalecimiento </w:t>
      </w:r>
      <w:r w:rsidR="4EEDA772" w:rsidRPr="027F12FB">
        <w:rPr>
          <w:rFonts w:ascii="Arial" w:hAnsi="Arial" w:cs="Arial"/>
          <w:sz w:val="22"/>
          <w:szCs w:val="22"/>
        </w:rPr>
        <w:t>de la Red de Atención a la Salud</w:t>
      </w:r>
      <w:r w:rsidR="51D14037" w:rsidRPr="027F12FB">
        <w:rPr>
          <w:rFonts w:ascii="Arial" w:hAnsi="Arial" w:cs="Arial"/>
          <w:sz w:val="22"/>
          <w:szCs w:val="22"/>
        </w:rPr>
        <w:t xml:space="preserve"> en el </w:t>
      </w:r>
      <w:r w:rsidR="4EEDA772" w:rsidRPr="027F12FB">
        <w:rPr>
          <w:rFonts w:ascii="Arial" w:hAnsi="Arial" w:cs="Arial"/>
          <w:sz w:val="22"/>
          <w:szCs w:val="22"/>
        </w:rPr>
        <w:t>Estado</w:t>
      </w:r>
      <w:r w:rsidR="51D14037" w:rsidRPr="027F12FB">
        <w:rPr>
          <w:rFonts w:ascii="Arial" w:hAnsi="Arial" w:cs="Arial"/>
          <w:sz w:val="22"/>
          <w:szCs w:val="22"/>
        </w:rPr>
        <w:t xml:space="preserve"> de </w:t>
      </w:r>
      <w:r w:rsidR="4EEDA772" w:rsidRPr="027F12FB">
        <w:rPr>
          <w:rFonts w:ascii="Arial" w:hAnsi="Arial" w:cs="Arial"/>
          <w:sz w:val="22"/>
          <w:szCs w:val="22"/>
        </w:rPr>
        <w:t xml:space="preserve">Sergipe (ESE). </w:t>
      </w:r>
      <w:r w:rsidRPr="027F12FB">
        <w:rPr>
          <w:rFonts w:ascii="Arial" w:hAnsi="Arial" w:cs="Arial"/>
          <w:sz w:val="22"/>
          <w:szCs w:val="22"/>
        </w:rPr>
        <w:t xml:space="preserve">El objetivo del programa es </w:t>
      </w:r>
      <w:r w:rsidR="4EEDA772" w:rsidRPr="027F12FB">
        <w:rPr>
          <w:rFonts w:ascii="Arial" w:hAnsi="Arial" w:cs="Arial"/>
          <w:sz w:val="22"/>
          <w:szCs w:val="22"/>
        </w:rPr>
        <w:t>mejorar la salud de la población de E</w:t>
      </w:r>
      <w:r w:rsidR="040828E9" w:rsidRPr="027F12FB">
        <w:rPr>
          <w:rFonts w:ascii="Arial" w:hAnsi="Arial" w:cs="Arial"/>
          <w:sz w:val="22"/>
          <w:szCs w:val="22"/>
        </w:rPr>
        <w:t>S</w:t>
      </w:r>
      <w:r w:rsidR="4EEDA772" w:rsidRPr="027F12FB">
        <w:rPr>
          <w:rFonts w:ascii="Arial" w:hAnsi="Arial" w:cs="Arial"/>
          <w:sz w:val="22"/>
          <w:szCs w:val="22"/>
        </w:rPr>
        <w:t xml:space="preserve">E, por del incremento del acceso y calidad de los servicios de salud y de la mejora de la eficiencia en la gestión. Sus objetivos específicos son: </w:t>
      </w:r>
      <w:r w:rsidR="027F12FB" w:rsidRPr="027F12FB">
        <w:rPr>
          <w:rFonts w:ascii="Arial" w:hAnsi="Arial" w:cs="Arial"/>
          <w:sz w:val="22"/>
          <w:szCs w:val="22"/>
        </w:rPr>
        <w:t>(i) ampliar el acceso, la calidad y la integración de los servicios de salud del ESE; (</w:t>
      </w:r>
      <w:proofErr w:type="spellStart"/>
      <w:r w:rsidR="027F12FB" w:rsidRPr="027F12FB">
        <w:rPr>
          <w:rFonts w:ascii="Arial" w:hAnsi="Arial" w:cs="Arial"/>
          <w:sz w:val="22"/>
          <w:szCs w:val="22"/>
        </w:rPr>
        <w:t>ii</w:t>
      </w:r>
      <w:proofErr w:type="spellEnd"/>
      <w:r w:rsidR="027F12FB" w:rsidRPr="027F12FB">
        <w:rPr>
          <w:rFonts w:ascii="Arial" w:hAnsi="Arial" w:cs="Arial"/>
          <w:sz w:val="22"/>
          <w:szCs w:val="22"/>
        </w:rPr>
        <w:t>)</w:t>
      </w:r>
      <w:r w:rsidR="00275A93">
        <w:rPr>
          <w:rFonts w:ascii="Arial" w:hAnsi="Arial" w:cs="Arial"/>
          <w:sz w:val="22"/>
          <w:szCs w:val="22"/>
        </w:rPr>
        <w:t> </w:t>
      </w:r>
      <w:r w:rsidR="027F12FB" w:rsidRPr="027F12FB">
        <w:rPr>
          <w:rFonts w:ascii="Arial" w:hAnsi="Arial" w:cs="Arial"/>
          <w:sz w:val="22"/>
          <w:szCs w:val="22"/>
        </w:rPr>
        <w:t>modernizar los procesos de gestión y asistenciales, a través de una transformación digital sostenible e inclusiva del sector salud</w:t>
      </w:r>
      <w:r w:rsidR="4EEDA772" w:rsidRPr="027F12FB">
        <w:rPr>
          <w:rFonts w:ascii="Arial" w:hAnsi="Arial" w:cs="Arial"/>
          <w:sz w:val="22"/>
          <w:szCs w:val="22"/>
        </w:rPr>
        <w:t>.</w:t>
      </w:r>
    </w:p>
    <w:p w14:paraId="1123D14E" w14:textId="28A2DBAD" w:rsidR="00E240CC" w:rsidRPr="00210A53" w:rsidRDefault="44963033" w:rsidP="027F12FB">
      <w:pPr>
        <w:spacing w:before="120" w:after="100" w:afterAutospacing="1"/>
        <w:jc w:val="both"/>
        <w:rPr>
          <w:rFonts w:ascii="Arial" w:hAnsi="Arial" w:cs="Arial"/>
          <w:sz w:val="22"/>
          <w:szCs w:val="22"/>
        </w:rPr>
      </w:pPr>
      <w:r w:rsidRPr="027F12FB">
        <w:rPr>
          <w:rFonts w:ascii="Arial" w:hAnsi="Arial" w:cs="Arial"/>
          <w:sz w:val="22"/>
          <w:szCs w:val="22"/>
        </w:rPr>
        <w:t>El programa tiene un monto de US$</w:t>
      </w:r>
      <w:r w:rsidR="4EEDA772" w:rsidRPr="027F12FB">
        <w:rPr>
          <w:rFonts w:ascii="Arial" w:hAnsi="Arial" w:cs="Arial"/>
          <w:sz w:val="22"/>
          <w:szCs w:val="22"/>
        </w:rPr>
        <w:t>45.1</w:t>
      </w:r>
      <w:r w:rsidRPr="027F12FB">
        <w:rPr>
          <w:rFonts w:ascii="Arial" w:hAnsi="Arial" w:cs="Arial"/>
          <w:sz w:val="22"/>
          <w:szCs w:val="22"/>
        </w:rPr>
        <w:t xml:space="preserve"> millones, de los cuales </w:t>
      </w:r>
      <w:r w:rsidR="76994DC7" w:rsidRPr="027F12FB">
        <w:rPr>
          <w:rFonts w:ascii="Arial" w:hAnsi="Arial" w:cs="Arial"/>
          <w:sz w:val="22"/>
          <w:szCs w:val="22"/>
        </w:rPr>
        <w:t>US$</w:t>
      </w:r>
      <w:r w:rsidR="4EEDA772" w:rsidRPr="027F12FB">
        <w:rPr>
          <w:rFonts w:ascii="Arial" w:hAnsi="Arial" w:cs="Arial"/>
          <w:sz w:val="22"/>
          <w:szCs w:val="22"/>
        </w:rPr>
        <w:t>36</w:t>
      </w:r>
      <w:r w:rsidRPr="027F12FB">
        <w:rPr>
          <w:rFonts w:ascii="Arial" w:hAnsi="Arial" w:cs="Arial"/>
          <w:sz w:val="22"/>
          <w:szCs w:val="22"/>
        </w:rPr>
        <w:t xml:space="preserve"> millones son financiados por el Banco y </w:t>
      </w:r>
      <w:r w:rsidR="76994DC7" w:rsidRPr="027F12FB">
        <w:rPr>
          <w:rFonts w:ascii="Arial" w:hAnsi="Arial" w:cs="Arial"/>
          <w:sz w:val="22"/>
          <w:szCs w:val="22"/>
        </w:rPr>
        <w:t>US$</w:t>
      </w:r>
      <w:r w:rsidR="4EEDA772" w:rsidRPr="027F12FB">
        <w:rPr>
          <w:rFonts w:ascii="Arial" w:hAnsi="Arial" w:cs="Arial"/>
          <w:sz w:val="22"/>
          <w:szCs w:val="22"/>
        </w:rPr>
        <w:t>9.1</w:t>
      </w:r>
      <w:r w:rsidRPr="027F12FB">
        <w:rPr>
          <w:rFonts w:ascii="Arial" w:hAnsi="Arial" w:cs="Arial"/>
          <w:sz w:val="22"/>
          <w:szCs w:val="22"/>
        </w:rPr>
        <w:t xml:space="preserve"> millones por la contraparte local. El programa comprende tres componentes:</w:t>
      </w:r>
      <w:r w:rsidR="4EEDA772" w:rsidRPr="027F12FB">
        <w:rPr>
          <w:rFonts w:ascii="Arial" w:hAnsi="Arial" w:cs="Arial"/>
          <w:sz w:val="22"/>
          <w:szCs w:val="22"/>
        </w:rPr>
        <w:t xml:space="preserve"> (i) a</w:t>
      </w:r>
      <w:r w:rsidR="027F12FB" w:rsidRPr="027F12FB">
        <w:rPr>
          <w:rFonts w:ascii="Arial" w:eastAsia="Arial" w:hAnsi="Arial" w:cs="Arial"/>
          <w:color w:val="000000" w:themeColor="text1"/>
          <w:sz w:val="22"/>
          <w:szCs w:val="22"/>
          <w:lang w:val="es-ES"/>
        </w:rPr>
        <w:t>poyo a la ampliación del acceso, de la calidad y de la integración de los servicios</w:t>
      </w:r>
      <w:r w:rsidR="4EEDA772" w:rsidRPr="027F12FB">
        <w:rPr>
          <w:rFonts w:ascii="Arial" w:hAnsi="Arial" w:cs="Arial"/>
          <w:sz w:val="22"/>
          <w:szCs w:val="22"/>
        </w:rPr>
        <w:t>; (</w:t>
      </w:r>
      <w:proofErr w:type="spellStart"/>
      <w:r w:rsidR="4EEDA772" w:rsidRPr="027F12FB">
        <w:rPr>
          <w:rFonts w:ascii="Arial" w:hAnsi="Arial" w:cs="Arial"/>
          <w:sz w:val="22"/>
          <w:szCs w:val="22"/>
        </w:rPr>
        <w:t>ii</w:t>
      </w:r>
      <w:proofErr w:type="spellEnd"/>
      <w:r w:rsidR="4EEDA772" w:rsidRPr="027F12FB">
        <w:rPr>
          <w:rFonts w:ascii="Arial" w:hAnsi="Arial" w:cs="Arial"/>
          <w:sz w:val="22"/>
          <w:szCs w:val="22"/>
        </w:rPr>
        <w:t>) fortalecimiento de la gestión, mejora de la eficiencia y calidad del sistema sanitario; y (</w:t>
      </w:r>
      <w:proofErr w:type="spellStart"/>
      <w:r w:rsidR="4EEDA772" w:rsidRPr="027F12FB">
        <w:rPr>
          <w:rFonts w:ascii="Arial" w:hAnsi="Arial" w:cs="Arial"/>
          <w:sz w:val="22"/>
          <w:szCs w:val="22"/>
        </w:rPr>
        <w:t>iii</w:t>
      </w:r>
      <w:proofErr w:type="spellEnd"/>
      <w:r w:rsidR="4EEDA772" w:rsidRPr="027F12FB">
        <w:rPr>
          <w:rFonts w:ascii="Arial" w:hAnsi="Arial" w:cs="Arial"/>
          <w:sz w:val="22"/>
          <w:szCs w:val="22"/>
        </w:rPr>
        <w:t>) fortalecimiento de la gestión de la información y del uso de nuevas tecnologías en salud.</w:t>
      </w:r>
      <w:r w:rsidRPr="027F12FB">
        <w:rPr>
          <w:rFonts w:ascii="Arial" w:hAnsi="Arial" w:cs="Arial"/>
          <w:sz w:val="22"/>
          <w:szCs w:val="22"/>
        </w:rPr>
        <w:t xml:space="preserve"> Los beneficios esperados del programa se derivan de</w:t>
      </w:r>
      <w:r w:rsidR="06AC834E" w:rsidRPr="027F12FB">
        <w:rPr>
          <w:rFonts w:ascii="Arial" w:hAnsi="Arial" w:cs="Arial"/>
          <w:sz w:val="22"/>
          <w:szCs w:val="22"/>
        </w:rPr>
        <w:t>:</w:t>
      </w:r>
    </w:p>
    <w:bookmarkEnd w:id="6"/>
    <w:p w14:paraId="467AA405" w14:textId="4DCF9E79" w:rsidR="002B0D92" w:rsidRDefault="00B72CD7" w:rsidP="002B0D92">
      <w:pPr>
        <w:pStyle w:val="ListParagraph"/>
        <w:numPr>
          <w:ilvl w:val="0"/>
          <w:numId w:val="6"/>
        </w:numPr>
        <w:jc w:val="both"/>
        <w:rPr>
          <w:rFonts w:ascii="Arial" w:eastAsia="Calibri" w:hAnsi="Arial" w:cs="Arial"/>
        </w:rPr>
      </w:pPr>
      <w:r w:rsidRPr="556FAFAE">
        <w:rPr>
          <w:rFonts w:ascii="Arial" w:hAnsi="Arial" w:cs="Arial"/>
        </w:rPr>
        <w:t>Disminuci</w:t>
      </w:r>
      <w:r w:rsidRPr="556FAFAE">
        <w:rPr>
          <w:rFonts w:ascii="Arial" w:eastAsia="Calibri" w:hAnsi="Arial" w:cs="Arial"/>
        </w:rPr>
        <w:t>ón</w:t>
      </w:r>
      <w:r w:rsidRPr="556FAFAE">
        <w:rPr>
          <w:rFonts w:ascii="Arial" w:hAnsi="Arial" w:cs="Arial"/>
        </w:rPr>
        <w:t xml:space="preserve"> </w:t>
      </w:r>
      <w:r w:rsidRPr="556FAFAE">
        <w:rPr>
          <w:rFonts w:ascii="Arial" w:eastAsia="Calibri" w:hAnsi="Arial" w:cs="Arial"/>
        </w:rPr>
        <w:t>en</w:t>
      </w:r>
      <w:r w:rsidRPr="556FAFAE">
        <w:rPr>
          <w:rFonts w:ascii="Arial" w:hAnsi="Arial" w:cs="Arial"/>
        </w:rPr>
        <w:t xml:space="preserve"> </w:t>
      </w:r>
      <w:r w:rsidRPr="556FAFAE">
        <w:rPr>
          <w:rFonts w:ascii="Arial" w:eastAsia="Calibri" w:hAnsi="Arial" w:cs="Arial"/>
        </w:rPr>
        <w:t>la</w:t>
      </w:r>
      <w:r w:rsidRPr="556FAFAE">
        <w:rPr>
          <w:rFonts w:ascii="Arial" w:hAnsi="Arial" w:cs="Arial"/>
        </w:rPr>
        <w:t xml:space="preserve"> </w:t>
      </w:r>
      <w:r w:rsidRPr="556FAFAE">
        <w:rPr>
          <w:rFonts w:ascii="Arial" w:eastAsia="Calibri" w:hAnsi="Arial" w:cs="Arial"/>
        </w:rPr>
        <w:t>mortalidad</w:t>
      </w:r>
      <w:r w:rsidRPr="556FAFAE">
        <w:rPr>
          <w:rFonts w:ascii="Arial" w:hAnsi="Arial" w:cs="Arial"/>
        </w:rPr>
        <w:t xml:space="preserve"> y la morbilidad</w:t>
      </w:r>
      <w:r w:rsidR="00C11778" w:rsidRPr="556FAFAE">
        <w:rPr>
          <w:rFonts w:ascii="Arial" w:hAnsi="Arial" w:cs="Arial"/>
        </w:rPr>
        <w:t xml:space="preserve"> </w:t>
      </w:r>
      <w:r w:rsidRPr="556FAFAE">
        <w:rPr>
          <w:rFonts w:ascii="Arial" w:hAnsi="Arial" w:cs="Arial"/>
        </w:rPr>
        <w:t xml:space="preserve">resultado </w:t>
      </w:r>
      <w:r w:rsidR="00F80950" w:rsidRPr="556FAFAE">
        <w:rPr>
          <w:rFonts w:ascii="Arial" w:hAnsi="Arial" w:cs="Arial"/>
        </w:rPr>
        <w:t>de</w:t>
      </w:r>
      <w:r w:rsidR="002B0D92" w:rsidRPr="556FAFAE">
        <w:rPr>
          <w:rFonts w:ascii="Arial" w:hAnsi="Arial" w:cs="Arial"/>
        </w:rPr>
        <w:t xml:space="preserve"> u</w:t>
      </w:r>
      <w:r w:rsidR="00C11778" w:rsidRPr="556FAFAE">
        <w:rPr>
          <w:rFonts w:ascii="Arial" w:hAnsi="Arial" w:cs="Arial"/>
        </w:rPr>
        <w:t>n m</w:t>
      </w:r>
      <w:r w:rsidR="00F80950" w:rsidRPr="556FAFAE">
        <w:rPr>
          <w:rFonts w:ascii="Arial" w:hAnsi="Arial" w:cs="Arial"/>
        </w:rPr>
        <w:t xml:space="preserve">ayor </w:t>
      </w:r>
      <w:r w:rsidR="00DD259E" w:rsidRPr="556FAFAE">
        <w:rPr>
          <w:rFonts w:ascii="Arial" w:hAnsi="Arial" w:cs="Arial"/>
        </w:rPr>
        <w:t>acceso a los</w:t>
      </w:r>
      <w:r w:rsidR="00F80950" w:rsidRPr="556FAFAE">
        <w:rPr>
          <w:rFonts w:ascii="Arial" w:hAnsi="Arial" w:cs="Arial"/>
        </w:rPr>
        <w:t xml:space="preserve"> servicios de </w:t>
      </w:r>
      <w:r w:rsidR="00DD259E" w:rsidRPr="556FAFAE">
        <w:rPr>
          <w:rFonts w:ascii="Arial" w:hAnsi="Arial" w:cs="Arial"/>
        </w:rPr>
        <w:t xml:space="preserve">atención a salud de la red pública </w:t>
      </w:r>
      <w:r w:rsidR="00F80950" w:rsidRPr="556FAFAE">
        <w:rPr>
          <w:rFonts w:ascii="Arial" w:hAnsi="Arial" w:cs="Arial"/>
        </w:rPr>
        <w:t>por las inversiones en infraestructura, equipamiento</w:t>
      </w:r>
      <w:r w:rsidR="00DD259E" w:rsidRPr="556FAFAE">
        <w:rPr>
          <w:rFonts w:ascii="Arial" w:hAnsi="Arial" w:cs="Arial"/>
        </w:rPr>
        <w:t>, tecnología</w:t>
      </w:r>
      <w:r w:rsidR="00F80950" w:rsidRPr="556FAFAE">
        <w:rPr>
          <w:rFonts w:ascii="Arial" w:hAnsi="Arial" w:cs="Arial"/>
        </w:rPr>
        <w:t xml:space="preserve"> y mejoras en gesti</w:t>
      </w:r>
      <w:r w:rsidR="00F80950" w:rsidRPr="556FAFAE">
        <w:rPr>
          <w:rFonts w:ascii="Arial" w:eastAsia="Calibri" w:hAnsi="Arial" w:cs="Arial"/>
        </w:rPr>
        <w:t>ón y calidad.</w:t>
      </w:r>
      <w:r w:rsidR="00C11778" w:rsidRPr="556FAFAE">
        <w:rPr>
          <w:rFonts w:ascii="Arial" w:eastAsia="Calibri" w:hAnsi="Arial" w:cs="Arial"/>
        </w:rPr>
        <w:t xml:space="preserve"> </w:t>
      </w:r>
      <w:r w:rsidR="006A4084" w:rsidRPr="556FAFAE">
        <w:rPr>
          <w:rFonts w:ascii="Arial" w:eastAsia="Calibri" w:hAnsi="Arial" w:cs="Arial"/>
        </w:rPr>
        <w:t>Estos beneficios son c</w:t>
      </w:r>
      <w:r w:rsidR="003F4AC6" w:rsidRPr="556FAFAE">
        <w:rPr>
          <w:rFonts w:ascii="Arial" w:eastAsia="Calibri" w:hAnsi="Arial" w:cs="Arial"/>
        </w:rPr>
        <w:t>uantificad</w:t>
      </w:r>
      <w:r w:rsidR="006A4084" w:rsidRPr="556FAFAE">
        <w:rPr>
          <w:rFonts w:ascii="Arial" w:eastAsia="Calibri" w:hAnsi="Arial" w:cs="Arial"/>
        </w:rPr>
        <w:t>o</w:t>
      </w:r>
      <w:r w:rsidR="003F4AC6" w:rsidRPr="556FAFAE">
        <w:rPr>
          <w:rFonts w:ascii="Arial" w:eastAsia="Calibri" w:hAnsi="Arial" w:cs="Arial"/>
        </w:rPr>
        <w:t xml:space="preserve">s </w:t>
      </w:r>
      <w:r w:rsidR="00E72416" w:rsidRPr="556FAFAE">
        <w:rPr>
          <w:rFonts w:ascii="Arial" w:eastAsia="Calibri" w:hAnsi="Arial" w:cs="Arial"/>
        </w:rPr>
        <w:t>utilizando</w:t>
      </w:r>
      <w:r w:rsidR="003F4AC6" w:rsidRPr="556FAFAE">
        <w:rPr>
          <w:rFonts w:ascii="Arial" w:eastAsia="Calibri" w:hAnsi="Arial" w:cs="Arial"/>
        </w:rPr>
        <w:t xml:space="preserve"> los </w:t>
      </w:r>
      <w:r w:rsidR="00F76E03" w:rsidRPr="556FAFAE">
        <w:rPr>
          <w:rFonts w:ascii="Arial" w:eastAsia="Calibri" w:hAnsi="Arial" w:cs="Arial"/>
        </w:rPr>
        <w:t>Años de Vida Ajustados por Discapacidad (</w:t>
      </w:r>
      <w:proofErr w:type="spellStart"/>
      <w:r w:rsidR="00F76E03" w:rsidRPr="556FAFAE">
        <w:rPr>
          <w:rFonts w:ascii="Arial" w:eastAsia="Calibri" w:hAnsi="Arial" w:cs="Arial"/>
        </w:rPr>
        <w:t>AVADs</w:t>
      </w:r>
      <w:proofErr w:type="spellEnd"/>
      <w:r w:rsidR="00F76E03" w:rsidRPr="556FAFAE">
        <w:rPr>
          <w:rFonts w:ascii="Arial" w:eastAsia="Calibri" w:hAnsi="Arial" w:cs="Arial"/>
        </w:rPr>
        <w:t>) que resultan de la implementación de líneas de cuidado de probada efectividad</w:t>
      </w:r>
      <w:r w:rsidR="002F75D0">
        <w:rPr>
          <w:rFonts w:ascii="Arial" w:eastAsia="Calibri" w:hAnsi="Arial" w:cs="Arial"/>
        </w:rPr>
        <w:t>.</w:t>
      </w:r>
      <w:r w:rsidR="00C11778" w:rsidRPr="556FAFAE">
        <w:rPr>
          <w:rFonts w:ascii="Arial" w:eastAsia="Calibri" w:hAnsi="Arial" w:cs="Arial"/>
        </w:rPr>
        <w:t xml:space="preserve"> </w:t>
      </w:r>
    </w:p>
    <w:p w14:paraId="7F70C970" w14:textId="25450ED1" w:rsidR="00BA470E" w:rsidRPr="00152D5A" w:rsidRDefault="00BA470E" w:rsidP="00152D5A">
      <w:pPr>
        <w:pStyle w:val="ListParagraph"/>
        <w:numPr>
          <w:ilvl w:val="0"/>
          <w:numId w:val="6"/>
        </w:numPr>
        <w:jc w:val="both"/>
        <w:rPr>
          <w:rFonts w:ascii="Arial" w:eastAsia="Calibri" w:hAnsi="Arial" w:cs="Arial"/>
        </w:rPr>
      </w:pPr>
      <w:r w:rsidRPr="00152D5A">
        <w:rPr>
          <w:rFonts w:ascii="Arial" w:eastAsia="Calibri" w:hAnsi="Arial" w:cs="Arial"/>
        </w:rPr>
        <w:t>Disminución en el número de imágenes diagnósticas repetidas, en el número de admisiones en el hospital y en el número de días que los pacientes permanecen en los hospitales</w:t>
      </w:r>
      <w:r w:rsidR="00930FB3">
        <w:rPr>
          <w:rFonts w:ascii="Arial" w:eastAsia="Calibri" w:hAnsi="Arial" w:cs="Arial"/>
        </w:rPr>
        <w:t>, p</w:t>
      </w:r>
      <w:r w:rsidR="0090419C">
        <w:rPr>
          <w:rFonts w:ascii="Arial" w:eastAsia="Calibri" w:hAnsi="Arial" w:cs="Arial"/>
        </w:rPr>
        <w:t>or las inversiones en transformación digital</w:t>
      </w:r>
      <w:r w:rsidRPr="00152D5A">
        <w:rPr>
          <w:rFonts w:ascii="Arial" w:eastAsia="Calibri" w:hAnsi="Arial" w:cs="Arial"/>
        </w:rPr>
        <w:t>. Los beneficios son cuantificados</w:t>
      </w:r>
      <w:r w:rsidR="00152D5A" w:rsidRPr="00152D5A">
        <w:rPr>
          <w:rFonts w:ascii="Arial" w:eastAsia="Calibri" w:hAnsi="Arial" w:cs="Arial"/>
        </w:rPr>
        <w:t xml:space="preserve"> utilizando</w:t>
      </w:r>
      <w:r w:rsidRPr="00152D5A">
        <w:rPr>
          <w:rFonts w:ascii="Arial" w:eastAsia="Calibri" w:hAnsi="Arial" w:cs="Arial"/>
        </w:rPr>
        <w:t xml:space="preserve"> </w:t>
      </w:r>
      <w:r w:rsidR="00152D5A" w:rsidRPr="00152D5A">
        <w:rPr>
          <w:rFonts w:ascii="Arial" w:eastAsia="Calibri" w:hAnsi="Arial" w:cs="Arial"/>
        </w:rPr>
        <w:t>el ahorro anual per cápita en dólares y en camas ocupadas al reducir las admisiones al hospital</w:t>
      </w:r>
      <w:r w:rsidR="00152D5A">
        <w:rPr>
          <w:rFonts w:ascii="Arial" w:eastAsia="Calibri" w:hAnsi="Arial" w:cs="Arial"/>
        </w:rPr>
        <w:t xml:space="preserve">, y el ahorro en el número de imágenes diagnósticas en dólares. </w:t>
      </w:r>
    </w:p>
    <w:p w14:paraId="78DD2C2A" w14:textId="3F3416B1" w:rsidR="002C5FF5" w:rsidRPr="00F378EB" w:rsidRDefault="2DFFAFE0" w:rsidP="027F12FB">
      <w:pPr>
        <w:spacing w:before="120" w:after="100" w:afterAutospacing="1"/>
        <w:jc w:val="both"/>
        <w:rPr>
          <w:rFonts w:ascii="Arial" w:eastAsiaTheme="minorEastAsia" w:hAnsi="Arial" w:cs="Arial"/>
          <w:sz w:val="22"/>
          <w:szCs w:val="22"/>
        </w:rPr>
      </w:pPr>
      <w:r w:rsidRPr="027F12FB">
        <w:rPr>
          <w:rFonts w:ascii="Arial" w:eastAsiaTheme="minorEastAsia" w:hAnsi="Arial" w:cs="Arial"/>
          <w:sz w:val="22"/>
          <w:szCs w:val="22"/>
        </w:rPr>
        <w:t>El análisis está diseñado</w:t>
      </w:r>
      <w:r w:rsidR="67B6F185" w:rsidRPr="027F12FB">
        <w:rPr>
          <w:rFonts w:ascii="Arial" w:eastAsiaTheme="minorEastAsia" w:hAnsi="Arial" w:cs="Arial"/>
          <w:sz w:val="22"/>
          <w:szCs w:val="22"/>
        </w:rPr>
        <w:t xml:space="preserve"> </w:t>
      </w:r>
      <w:r w:rsidR="413B49D0" w:rsidRPr="027F12FB">
        <w:rPr>
          <w:rFonts w:ascii="Arial" w:eastAsiaTheme="minorEastAsia" w:hAnsi="Arial" w:cs="Arial"/>
          <w:sz w:val="22"/>
          <w:szCs w:val="22"/>
        </w:rPr>
        <w:t>para considerar los</w:t>
      </w:r>
      <w:r w:rsidR="582C03CE" w:rsidRPr="027F12FB">
        <w:rPr>
          <w:rFonts w:ascii="Arial" w:eastAsiaTheme="minorEastAsia" w:hAnsi="Arial" w:cs="Arial"/>
          <w:sz w:val="22"/>
          <w:szCs w:val="22"/>
        </w:rPr>
        <w:t xml:space="preserve"> </w:t>
      </w:r>
      <w:r w:rsidR="441616D2" w:rsidRPr="027F12FB">
        <w:rPr>
          <w:rFonts w:ascii="Arial" w:eastAsiaTheme="minorEastAsia" w:hAnsi="Arial" w:cs="Arial"/>
          <w:sz w:val="22"/>
          <w:szCs w:val="22"/>
        </w:rPr>
        <w:t>diferen</w:t>
      </w:r>
      <w:r w:rsidR="4F143433" w:rsidRPr="027F12FB">
        <w:rPr>
          <w:rFonts w:ascii="Arial" w:eastAsiaTheme="minorEastAsia" w:hAnsi="Arial" w:cs="Arial"/>
          <w:sz w:val="22"/>
          <w:szCs w:val="22"/>
        </w:rPr>
        <w:t>tes tipos de intervenciones del programa</w:t>
      </w:r>
      <w:r w:rsidR="441616D2" w:rsidRPr="027F12FB">
        <w:rPr>
          <w:rFonts w:ascii="Arial" w:eastAsiaTheme="minorEastAsia" w:hAnsi="Arial" w:cs="Arial"/>
          <w:sz w:val="22"/>
          <w:szCs w:val="22"/>
        </w:rPr>
        <w:t>.</w:t>
      </w:r>
      <w:r w:rsidR="55E4791D" w:rsidRPr="027F12FB">
        <w:rPr>
          <w:rFonts w:ascii="Arial" w:eastAsiaTheme="minorEastAsia" w:hAnsi="Arial" w:cs="Arial"/>
          <w:sz w:val="22"/>
          <w:szCs w:val="22"/>
        </w:rPr>
        <w:t xml:space="preserve"> </w:t>
      </w:r>
      <w:r w:rsidR="5FBDDF20" w:rsidRPr="027F12FB">
        <w:rPr>
          <w:rFonts w:ascii="Arial" w:hAnsi="Arial" w:cs="Arial"/>
          <w:sz w:val="22"/>
          <w:szCs w:val="22"/>
        </w:rPr>
        <w:t>S</w:t>
      </w:r>
      <w:r w:rsidR="6B6C5071" w:rsidRPr="027F12FB">
        <w:rPr>
          <w:rFonts w:ascii="Arial" w:hAnsi="Arial" w:cs="Arial"/>
          <w:sz w:val="22"/>
          <w:szCs w:val="22"/>
        </w:rPr>
        <w:t>e</w:t>
      </w:r>
      <w:r w:rsidR="736B5A20" w:rsidRPr="027F12FB">
        <w:rPr>
          <w:rFonts w:ascii="Arial" w:hAnsi="Arial" w:cs="Arial"/>
          <w:sz w:val="22"/>
          <w:szCs w:val="22"/>
        </w:rPr>
        <w:t> </w:t>
      </w:r>
      <w:r w:rsidR="6B6C5071" w:rsidRPr="027F12FB">
        <w:rPr>
          <w:rFonts w:ascii="Arial" w:hAnsi="Arial" w:cs="Arial"/>
          <w:sz w:val="22"/>
          <w:szCs w:val="22"/>
        </w:rPr>
        <w:t xml:space="preserve">generarán beneficios </w:t>
      </w:r>
      <w:r w:rsidR="527C4B78" w:rsidRPr="027F12FB">
        <w:rPr>
          <w:rFonts w:ascii="Arial" w:hAnsi="Arial" w:cs="Arial"/>
          <w:sz w:val="22"/>
          <w:szCs w:val="22"/>
        </w:rPr>
        <w:t>asociados con</w:t>
      </w:r>
      <w:r w:rsidR="55E4791D" w:rsidRPr="027F12FB">
        <w:rPr>
          <w:rFonts w:ascii="Arial" w:hAnsi="Arial" w:cs="Arial"/>
          <w:sz w:val="22"/>
          <w:szCs w:val="22"/>
        </w:rPr>
        <w:t xml:space="preserve"> </w:t>
      </w:r>
      <w:r w:rsidR="3C4E8730" w:rsidRPr="027F12FB">
        <w:rPr>
          <w:rFonts w:ascii="Arial" w:hAnsi="Arial" w:cs="Arial"/>
          <w:sz w:val="22"/>
          <w:szCs w:val="22"/>
        </w:rPr>
        <w:t xml:space="preserve">el componente que apoyará </w:t>
      </w:r>
      <w:r w:rsidR="55E4791D" w:rsidRPr="027F12FB">
        <w:rPr>
          <w:rFonts w:ascii="Arial" w:hAnsi="Arial" w:cs="Arial"/>
          <w:noProof/>
          <w:sz w:val="22"/>
          <w:szCs w:val="22"/>
        </w:rPr>
        <w:t>la ampliación del acceso y de la calidad de los servicios de salud, así como el fortalecimiento de su organización bajo el modelo de redes de atención</w:t>
      </w:r>
      <w:r w:rsidR="527C4B78" w:rsidRPr="027F12FB">
        <w:rPr>
          <w:rFonts w:ascii="Arial" w:hAnsi="Arial" w:cs="Arial"/>
          <w:sz w:val="22"/>
          <w:szCs w:val="22"/>
        </w:rPr>
        <w:t xml:space="preserve">, </w:t>
      </w:r>
      <w:r w:rsidR="3C4E8730" w:rsidRPr="027F12FB">
        <w:rPr>
          <w:rFonts w:ascii="Arial" w:hAnsi="Arial" w:cs="Arial"/>
          <w:sz w:val="22"/>
          <w:szCs w:val="22"/>
        </w:rPr>
        <w:t xml:space="preserve">el cual </w:t>
      </w:r>
      <w:r w:rsidR="527C4B78" w:rsidRPr="027F12FB">
        <w:rPr>
          <w:rFonts w:ascii="Arial" w:hAnsi="Arial" w:cs="Arial"/>
          <w:sz w:val="22"/>
          <w:szCs w:val="22"/>
        </w:rPr>
        <w:t>incluye</w:t>
      </w:r>
      <w:r w:rsidR="5FBDDF20" w:rsidRPr="027F12FB">
        <w:rPr>
          <w:rFonts w:ascii="Arial" w:hAnsi="Arial" w:cs="Arial"/>
          <w:sz w:val="22"/>
          <w:szCs w:val="22"/>
        </w:rPr>
        <w:t>:</w:t>
      </w:r>
      <w:r w:rsidR="527C4B78" w:rsidRPr="027F12FB">
        <w:rPr>
          <w:rFonts w:ascii="Arial" w:hAnsi="Arial" w:cs="Arial"/>
          <w:sz w:val="22"/>
          <w:szCs w:val="22"/>
        </w:rPr>
        <w:t xml:space="preserve"> </w:t>
      </w:r>
      <w:r w:rsidR="55E4791D" w:rsidRPr="027F12FB">
        <w:rPr>
          <w:rFonts w:ascii="Arial" w:hAnsi="Arial" w:cs="Arial"/>
          <w:sz w:val="22"/>
          <w:szCs w:val="22"/>
        </w:rPr>
        <w:t xml:space="preserve">(i) </w:t>
      </w:r>
      <w:r w:rsidR="027F12FB" w:rsidRPr="027F12FB">
        <w:rPr>
          <w:rFonts w:ascii="Arial" w:eastAsia="Arial" w:hAnsi="Arial" w:cs="Arial"/>
          <w:color w:val="000000" w:themeColor="text1"/>
          <w:sz w:val="22"/>
          <w:szCs w:val="22"/>
          <w:lang w:val="es-ES"/>
        </w:rPr>
        <w:t>la construcción, equipos y mobiliarios para una Maternidad de embarazo de alto riesgo</w:t>
      </w:r>
      <w:r w:rsidR="55E4791D" w:rsidRPr="027F12FB">
        <w:rPr>
          <w:rFonts w:ascii="Arial" w:hAnsi="Arial" w:cs="Arial"/>
          <w:sz w:val="22"/>
          <w:szCs w:val="22"/>
        </w:rPr>
        <w:t>; (</w:t>
      </w:r>
      <w:proofErr w:type="spellStart"/>
      <w:r w:rsidR="55E4791D" w:rsidRPr="027F12FB">
        <w:rPr>
          <w:rFonts w:ascii="Arial" w:hAnsi="Arial" w:cs="Arial"/>
          <w:sz w:val="22"/>
          <w:szCs w:val="22"/>
        </w:rPr>
        <w:t>ii</w:t>
      </w:r>
      <w:proofErr w:type="spellEnd"/>
      <w:r w:rsidR="55E4791D" w:rsidRPr="027F12FB">
        <w:rPr>
          <w:rFonts w:ascii="Arial" w:hAnsi="Arial" w:cs="Arial"/>
          <w:sz w:val="22"/>
          <w:szCs w:val="22"/>
        </w:rPr>
        <w:t xml:space="preserve">) equipos para tres </w:t>
      </w:r>
      <w:r w:rsidR="00C7688D">
        <w:rPr>
          <w:rFonts w:ascii="Arial" w:hAnsi="Arial" w:cs="Arial"/>
          <w:sz w:val="22"/>
          <w:szCs w:val="22"/>
        </w:rPr>
        <w:t xml:space="preserve">centros de </w:t>
      </w:r>
      <w:r w:rsidR="55E4791D" w:rsidRPr="00023D26">
        <w:rPr>
          <w:rFonts w:ascii="Arial" w:hAnsi="Arial" w:cs="Arial"/>
          <w:sz w:val="22"/>
          <w:szCs w:val="22"/>
        </w:rPr>
        <w:t xml:space="preserve">maternidad </w:t>
      </w:r>
      <w:r w:rsidR="55E4791D" w:rsidRPr="027F12FB">
        <w:rPr>
          <w:rFonts w:ascii="Arial" w:hAnsi="Arial" w:cs="Arial"/>
          <w:sz w:val="22"/>
          <w:szCs w:val="22"/>
        </w:rPr>
        <w:t>en el interior; (</w:t>
      </w:r>
      <w:proofErr w:type="spellStart"/>
      <w:r w:rsidR="55E4791D" w:rsidRPr="027F12FB">
        <w:rPr>
          <w:rFonts w:ascii="Arial" w:hAnsi="Arial" w:cs="Arial"/>
          <w:sz w:val="22"/>
          <w:szCs w:val="22"/>
        </w:rPr>
        <w:t>iii</w:t>
      </w:r>
      <w:proofErr w:type="spellEnd"/>
      <w:r w:rsidR="55E4791D" w:rsidRPr="027F12FB">
        <w:rPr>
          <w:rFonts w:ascii="Arial" w:hAnsi="Arial" w:cs="Arial"/>
          <w:sz w:val="22"/>
          <w:szCs w:val="22"/>
        </w:rPr>
        <w:t xml:space="preserve">) </w:t>
      </w:r>
      <w:r w:rsidR="027F12FB" w:rsidRPr="027F12FB">
        <w:rPr>
          <w:rFonts w:ascii="Arial" w:eastAsia="Arial" w:hAnsi="Arial" w:cs="Arial"/>
          <w:color w:val="000000" w:themeColor="text1"/>
          <w:sz w:val="22"/>
          <w:szCs w:val="22"/>
          <w:lang w:val="es-ES"/>
        </w:rPr>
        <w:t>la ampliación, reforma, equipos y mobiliarios para el Hospital Infantil (HI)</w:t>
      </w:r>
      <w:r w:rsidR="55E4791D" w:rsidRPr="027F12FB">
        <w:rPr>
          <w:rFonts w:ascii="Arial" w:hAnsi="Arial" w:cs="Arial"/>
          <w:sz w:val="22"/>
          <w:szCs w:val="22"/>
        </w:rPr>
        <w:t>; (</w:t>
      </w:r>
      <w:proofErr w:type="spellStart"/>
      <w:r w:rsidR="55E4791D" w:rsidRPr="027F12FB">
        <w:rPr>
          <w:rFonts w:ascii="Arial" w:hAnsi="Arial" w:cs="Arial"/>
          <w:sz w:val="22"/>
          <w:szCs w:val="22"/>
        </w:rPr>
        <w:t>iv</w:t>
      </w:r>
      <w:proofErr w:type="spellEnd"/>
      <w:r w:rsidR="55E4791D" w:rsidRPr="027F12FB">
        <w:rPr>
          <w:rFonts w:ascii="Arial" w:hAnsi="Arial" w:cs="Arial"/>
          <w:sz w:val="22"/>
          <w:szCs w:val="22"/>
        </w:rPr>
        <w:t xml:space="preserve">) </w:t>
      </w:r>
      <w:r w:rsidR="027F12FB" w:rsidRPr="027F12FB">
        <w:rPr>
          <w:rFonts w:ascii="Arial" w:eastAsia="Arial" w:hAnsi="Arial" w:cs="Arial"/>
          <w:color w:val="000000" w:themeColor="text1"/>
          <w:sz w:val="22"/>
          <w:szCs w:val="22"/>
          <w:lang w:val="es-ES"/>
        </w:rPr>
        <w:t>la construcción, equipos y mobiliarios para el Hospital Oncológico (HO)</w:t>
      </w:r>
      <w:r w:rsidR="55E4791D" w:rsidRPr="027F12FB">
        <w:rPr>
          <w:rFonts w:ascii="Arial" w:hAnsi="Arial" w:cs="Arial"/>
          <w:sz w:val="22"/>
          <w:szCs w:val="22"/>
        </w:rPr>
        <w:t>; (v) la reforma y equipamos para el Laboratorio Central de Salud Pública (LACEN) y para el Centro de Atención Diagnóstica por Imagen (CADI); (vi) proyectos arquitectónicos para las obras</w:t>
      </w:r>
      <w:r w:rsidR="027F12FB" w:rsidRPr="027F12FB">
        <w:rPr>
          <w:rFonts w:ascii="Arial" w:eastAsia="Arial" w:hAnsi="Arial" w:cs="Arial"/>
          <w:color w:val="000000" w:themeColor="text1"/>
          <w:sz w:val="22"/>
          <w:szCs w:val="22"/>
        </w:rPr>
        <w:t>, con atención a la accesibilidad para personas con discapacidad</w:t>
      </w:r>
      <w:r w:rsidR="55E4791D" w:rsidRPr="027F12FB">
        <w:rPr>
          <w:rFonts w:ascii="Arial" w:hAnsi="Arial" w:cs="Arial"/>
          <w:sz w:val="22"/>
          <w:szCs w:val="22"/>
        </w:rPr>
        <w:t>; y (</w:t>
      </w:r>
      <w:proofErr w:type="spellStart"/>
      <w:r w:rsidR="55E4791D" w:rsidRPr="027F12FB">
        <w:rPr>
          <w:rFonts w:ascii="Arial" w:hAnsi="Arial" w:cs="Arial"/>
          <w:sz w:val="22"/>
          <w:szCs w:val="22"/>
        </w:rPr>
        <w:t>vii</w:t>
      </w:r>
      <w:proofErr w:type="spellEnd"/>
      <w:r w:rsidR="55E4791D" w:rsidRPr="027F12FB">
        <w:rPr>
          <w:rFonts w:ascii="Arial" w:hAnsi="Arial" w:cs="Arial"/>
          <w:sz w:val="22"/>
          <w:szCs w:val="22"/>
        </w:rPr>
        <w:t>) ambulancias para el transporte interhospitalario de la red.</w:t>
      </w:r>
      <w:r w:rsidR="611952DC" w:rsidRPr="027F12FB">
        <w:rPr>
          <w:rFonts w:ascii="Arial" w:eastAsiaTheme="minorEastAsia" w:hAnsi="Arial" w:cs="Arial"/>
          <w:sz w:val="22"/>
          <w:szCs w:val="22"/>
        </w:rPr>
        <w:t xml:space="preserve"> </w:t>
      </w:r>
      <w:r w:rsidR="740EFCD6" w:rsidRPr="027F12FB">
        <w:rPr>
          <w:rFonts w:ascii="Arial" w:eastAsiaTheme="minorEastAsia" w:hAnsi="Arial" w:cs="Arial"/>
          <w:sz w:val="22"/>
          <w:szCs w:val="22"/>
        </w:rPr>
        <w:t>Además, se considera un análisis sobre los beneficios asociados a la promoción de la transformación digital de los servicios, mediante cambios de procesos, y la adopción intensiva de nuevas tecnologías para el área clínica y gerencial. Este incluye el (i) Sistema de Registro Electrónico de Salud; (</w:t>
      </w:r>
      <w:proofErr w:type="spellStart"/>
      <w:r w:rsidR="740EFCD6" w:rsidRPr="027F12FB">
        <w:rPr>
          <w:rFonts w:ascii="Arial" w:eastAsiaTheme="minorEastAsia" w:hAnsi="Arial" w:cs="Arial"/>
          <w:sz w:val="22"/>
          <w:szCs w:val="22"/>
        </w:rPr>
        <w:t>ii</w:t>
      </w:r>
      <w:proofErr w:type="spellEnd"/>
      <w:r w:rsidR="740EFCD6" w:rsidRPr="027F12FB">
        <w:rPr>
          <w:rFonts w:ascii="Arial" w:eastAsiaTheme="minorEastAsia" w:hAnsi="Arial" w:cs="Arial"/>
          <w:sz w:val="22"/>
          <w:szCs w:val="22"/>
        </w:rPr>
        <w:t>) equipos informáticos y softwares para ampliar y modernizar el parque tecnológico del sector; (</w:t>
      </w:r>
      <w:proofErr w:type="spellStart"/>
      <w:r w:rsidR="740EFCD6" w:rsidRPr="027F12FB">
        <w:rPr>
          <w:rFonts w:ascii="Arial" w:eastAsiaTheme="minorEastAsia" w:hAnsi="Arial" w:cs="Arial"/>
          <w:sz w:val="22"/>
          <w:szCs w:val="22"/>
        </w:rPr>
        <w:t>iii</w:t>
      </w:r>
      <w:proofErr w:type="spellEnd"/>
      <w:r w:rsidR="740EFCD6" w:rsidRPr="027F12FB">
        <w:rPr>
          <w:rFonts w:ascii="Arial" w:eastAsiaTheme="minorEastAsia" w:hAnsi="Arial" w:cs="Arial"/>
          <w:sz w:val="22"/>
          <w:szCs w:val="22"/>
        </w:rPr>
        <w:t>) implementación del Plan Estratégico de Telemedicina; (</w:t>
      </w:r>
      <w:proofErr w:type="spellStart"/>
      <w:r w:rsidR="740EFCD6" w:rsidRPr="027F12FB">
        <w:rPr>
          <w:rFonts w:ascii="Arial" w:eastAsiaTheme="minorEastAsia" w:hAnsi="Arial" w:cs="Arial"/>
          <w:sz w:val="22"/>
          <w:szCs w:val="22"/>
        </w:rPr>
        <w:t>iv</w:t>
      </w:r>
      <w:proofErr w:type="spellEnd"/>
      <w:r w:rsidR="740EFCD6" w:rsidRPr="027F12FB">
        <w:rPr>
          <w:rFonts w:ascii="Arial" w:eastAsiaTheme="minorEastAsia" w:hAnsi="Arial" w:cs="Arial"/>
          <w:sz w:val="22"/>
          <w:szCs w:val="22"/>
        </w:rPr>
        <w:t xml:space="preserve">) desarrollo del Plan </w:t>
      </w:r>
      <w:proofErr w:type="gramStart"/>
      <w:r w:rsidR="740EFCD6" w:rsidRPr="027F12FB">
        <w:rPr>
          <w:rFonts w:ascii="Arial" w:eastAsiaTheme="minorEastAsia" w:hAnsi="Arial" w:cs="Arial"/>
          <w:sz w:val="22"/>
          <w:szCs w:val="22"/>
        </w:rPr>
        <w:t>Director</w:t>
      </w:r>
      <w:proofErr w:type="gramEnd"/>
      <w:r w:rsidR="740EFCD6" w:rsidRPr="027F12FB">
        <w:rPr>
          <w:rFonts w:ascii="Arial" w:eastAsiaTheme="minorEastAsia" w:hAnsi="Arial" w:cs="Arial"/>
          <w:sz w:val="22"/>
          <w:szCs w:val="22"/>
        </w:rPr>
        <w:t xml:space="preserve"> de Tecnología; y (v) solución de telecomunicación, conectividad y teleprocesamiento.</w:t>
      </w:r>
      <w:r w:rsidR="3EFE6B47" w:rsidRPr="027F12FB">
        <w:rPr>
          <w:rFonts w:ascii="Arial" w:eastAsiaTheme="minorEastAsia" w:hAnsi="Arial" w:cs="Arial"/>
          <w:sz w:val="22"/>
          <w:szCs w:val="22"/>
        </w:rPr>
        <w:t xml:space="preserve"> </w:t>
      </w:r>
      <w:r w:rsidR="227584DC" w:rsidRPr="027F12FB">
        <w:rPr>
          <w:rFonts w:ascii="Arial" w:hAnsi="Arial" w:cs="Arial"/>
          <w:sz w:val="22"/>
          <w:szCs w:val="22"/>
        </w:rPr>
        <w:t>Una</w:t>
      </w:r>
      <w:r w:rsidR="736B5A20" w:rsidRPr="027F12FB">
        <w:rPr>
          <w:rFonts w:ascii="Arial" w:hAnsi="Arial" w:cs="Arial"/>
          <w:sz w:val="22"/>
          <w:szCs w:val="22"/>
        </w:rPr>
        <w:t> </w:t>
      </w:r>
      <w:r w:rsidR="227584DC" w:rsidRPr="027F12FB">
        <w:rPr>
          <w:rFonts w:ascii="Arial" w:hAnsi="Arial" w:cs="Arial"/>
          <w:sz w:val="22"/>
          <w:szCs w:val="22"/>
        </w:rPr>
        <w:t>analogía que facilita entender el enfoque utilizado es pensar en cada tipo de intervención como una capa de beneficios. El beneficio total de un territorio entonces está determinado por el total de capas que se superponen sobre dicho territorio.</w:t>
      </w:r>
    </w:p>
    <w:p w14:paraId="3B3E420B" w14:textId="16522784" w:rsidR="002F5E0E" w:rsidRPr="00D1482E" w:rsidRDefault="67B6F185" w:rsidP="027F12FB">
      <w:pPr>
        <w:spacing w:before="120" w:after="100" w:afterAutospacing="1"/>
        <w:jc w:val="both"/>
        <w:rPr>
          <w:rFonts w:ascii="Arial" w:hAnsi="Arial" w:cs="Arial"/>
          <w:sz w:val="22"/>
          <w:szCs w:val="22"/>
        </w:rPr>
      </w:pPr>
      <w:r w:rsidRPr="027F12FB">
        <w:rPr>
          <w:rFonts w:ascii="Arial" w:hAnsi="Arial" w:cs="Arial"/>
          <w:sz w:val="22"/>
          <w:szCs w:val="22"/>
        </w:rPr>
        <w:lastRenderedPageBreak/>
        <w:t>El aná</w:t>
      </w:r>
      <w:r w:rsidR="10AC8018" w:rsidRPr="027F12FB">
        <w:rPr>
          <w:rFonts w:ascii="Arial" w:hAnsi="Arial" w:cs="Arial"/>
          <w:sz w:val="22"/>
          <w:szCs w:val="22"/>
        </w:rPr>
        <w:t>lisis considera</w:t>
      </w:r>
      <w:r w:rsidR="4D95F54E" w:rsidRPr="027F12FB">
        <w:rPr>
          <w:rFonts w:ascii="Arial" w:hAnsi="Arial" w:cs="Arial"/>
          <w:sz w:val="22"/>
          <w:szCs w:val="22"/>
        </w:rPr>
        <w:t xml:space="preserve"> varios escenarios que permiten realizar un detallado</w:t>
      </w:r>
      <w:r w:rsidR="10AC8018" w:rsidRPr="027F12FB">
        <w:rPr>
          <w:rFonts w:ascii="Arial" w:hAnsi="Arial" w:cs="Arial"/>
          <w:sz w:val="22"/>
          <w:szCs w:val="22"/>
        </w:rPr>
        <w:t xml:space="preserve"> </w:t>
      </w:r>
      <w:r w:rsidR="4D3CD2AE" w:rsidRPr="027F12FB">
        <w:rPr>
          <w:rFonts w:ascii="Arial" w:hAnsi="Arial" w:cs="Arial"/>
          <w:sz w:val="22"/>
          <w:szCs w:val="22"/>
        </w:rPr>
        <w:t>análisis de sensibilidad.</w:t>
      </w:r>
      <w:r w:rsidR="10AC8018" w:rsidRPr="027F12FB">
        <w:rPr>
          <w:rFonts w:ascii="Arial" w:hAnsi="Arial" w:cs="Arial"/>
          <w:sz w:val="22"/>
          <w:szCs w:val="22"/>
        </w:rPr>
        <w:t xml:space="preserve"> En primer lugar</w:t>
      </w:r>
      <w:r w:rsidR="35A2AB98" w:rsidRPr="027F12FB">
        <w:rPr>
          <w:rFonts w:ascii="Arial" w:hAnsi="Arial" w:cs="Arial"/>
          <w:sz w:val="22"/>
          <w:szCs w:val="22"/>
        </w:rPr>
        <w:t>,</w:t>
      </w:r>
      <w:r w:rsidR="10AC8018" w:rsidRPr="027F12FB">
        <w:rPr>
          <w:rFonts w:ascii="Arial" w:hAnsi="Arial" w:cs="Arial"/>
          <w:sz w:val="22"/>
          <w:szCs w:val="22"/>
        </w:rPr>
        <w:t xml:space="preserve"> se </w:t>
      </w:r>
      <w:r w:rsidR="4D3CD2AE" w:rsidRPr="027F12FB">
        <w:rPr>
          <w:rFonts w:ascii="Arial" w:hAnsi="Arial" w:cs="Arial"/>
          <w:sz w:val="22"/>
          <w:szCs w:val="22"/>
        </w:rPr>
        <w:t>analizan</w:t>
      </w:r>
      <w:r w:rsidR="10AC8018" w:rsidRPr="027F12FB">
        <w:rPr>
          <w:rFonts w:ascii="Arial" w:hAnsi="Arial" w:cs="Arial"/>
          <w:sz w:val="22"/>
          <w:szCs w:val="22"/>
        </w:rPr>
        <w:t xml:space="preserve"> tres escenarios sobre la contribución marginal a</w:t>
      </w:r>
      <w:r w:rsidRPr="027F12FB">
        <w:rPr>
          <w:rFonts w:ascii="Arial" w:hAnsi="Arial" w:cs="Arial"/>
          <w:sz w:val="22"/>
          <w:szCs w:val="22"/>
        </w:rPr>
        <w:t xml:space="preserve"> la cobertura efectiva de salud </w:t>
      </w:r>
      <w:r w:rsidR="7A4A8839" w:rsidRPr="027F12FB">
        <w:rPr>
          <w:rFonts w:ascii="Arial" w:hAnsi="Arial" w:cs="Arial"/>
          <w:sz w:val="22"/>
          <w:szCs w:val="22"/>
        </w:rPr>
        <w:t>que tendrá</w:t>
      </w:r>
      <w:r w:rsidR="0193E4B5" w:rsidRPr="027F12FB">
        <w:rPr>
          <w:rFonts w:ascii="Arial" w:hAnsi="Arial" w:cs="Arial"/>
          <w:sz w:val="22"/>
          <w:szCs w:val="22"/>
        </w:rPr>
        <w:t>n</w:t>
      </w:r>
      <w:r w:rsidR="10AC8018" w:rsidRPr="027F12FB">
        <w:rPr>
          <w:rFonts w:ascii="Arial" w:hAnsi="Arial" w:cs="Arial"/>
          <w:sz w:val="22"/>
          <w:szCs w:val="22"/>
        </w:rPr>
        <w:t xml:space="preserve"> las intervenciones</w:t>
      </w:r>
      <w:r w:rsidR="31E42001" w:rsidRPr="027F12FB">
        <w:rPr>
          <w:rFonts w:ascii="Arial" w:hAnsi="Arial" w:cs="Arial"/>
          <w:sz w:val="22"/>
          <w:szCs w:val="22"/>
        </w:rPr>
        <w:t>. E</w:t>
      </w:r>
      <w:r w:rsidR="7A4A8839" w:rsidRPr="027F12FB">
        <w:rPr>
          <w:rFonts w:ascii="Arial" w:hAnsi="Arial" w:cs="Arial"/>
          <w:sz w:val="22"/>
          <w:szCs w:val="22"/>
        </w:rPr>
        <w:t>n ausencia de modelos que permitan estimar la contribución marginal</w:t>
      </w:r>
      <w:r w:rsidR="31E42001" w:rsidRPr="027F12FB">
        <w:rPr>
          <w:rFonts w:ascii="Arial" w:hAnsi="Arial" w:cs="Arial"/>
          <w:sz w:val="22"/>
          <w:szCs w:val="22"/>
        </w:rPr>
        <w:t>,</w:t>
      </w:r>
      <w:r w:rsidR="7A4A8839" w:rsidRPr="027F12FB">
        <w:rPr>
          <w:rFonts w:ascii="Arial" w:hAnsi="Arial" w:cs="Arial"/>
          <w:sz w:val="22"/>
          <w:szCs w:val="22"/>
        </w:rPr>
        <w:t xml:space="preserve"> el análisis se centra en justificar </w:t>
      </w:r>
      <w:r w:rsidR="35A2AB98" w:rsidRPr="027F12FB">
        <w:rPr>
          <w:rFonts w:ascii="Arial" w:hAnsi="Arial" w:cs="Arial"/>
          <w:sz w:val="22"/>
          <w:szCs w:val="22"/>
        </w:rPr>
        <w:t>por qué</w:t>
      </w:r>
      <w:r w:rsidR="7A4A8839" w:rsidRPr="027F12FB">
        <w:rPr>
          <w:rFonts w:ascii="Arial" w:hAnsi="Arial" w:cs="Arial"/>
          <w:sz w:val="22"/>
          <w:szCs w:val="22"/>
        </w:rPr>
        <w:t xml:space="preserve"> hay un margen de mejora de cobertura y utiliza un análisis de sensibilidad para establecer un rango</w:t>
      </w:r>
      <w:r w:rsidR="10AC8018" w:rsidRPr="027F12FB">
        <w:rPr>
          <w:rFonts w:ascii="Arial" w:hAnsi="Arial" w:cs="Arial"/>
          <w:sz w:val="22"/>
          <w:szCs w:val="22"/>
        </w:rPr>
        <w:t>. En segundo lugar</w:t>
      </w:r>
      <w:r w:rsidR="35A2AB98" w:rsidRPr="027F12FB">
        <w:rPr>
          <w:rFonts w:ascii="Arial" w:hAnsi="Arial" w:cs="Arial"/>
          <w:sz w:val="22"/>
          <w:szCs w:val="22"/>
        </w:rPr>
        <w:t>,</w:t>
      </w:r>
      <w:r w:rsidR="10AC8018" w:rsidRPr="027F12FB">
        <w:rPr>
          <w:rFonts w:ascii="Arial" w:hAnsi="Arial" w:cs="Arial"/>
          <w:sz w:val="22"/>
          <w:szCs w:val="22"/>
        </w:rPr>
        <w:t xml:space="preserve"> </w:t>
      </w:r>
      <w:r w:rsidR="4D95F54E" w:rsidRPr="027F12FB">
        <w:rPr>
          <w:rFonts w:ascii="Arial" w:hAnsi="Arial" w:cs="Arial"/>
          <w:sz w:val="22"/>
          <w:szCs w:val="22"/>
        </w:rPr>
        <w:t xml:space="preserve">se </w:t>
      </w:r>
      <w:r w:rsidR="10AC8018" w:rsidRPr="027F12FB">
        <w:rPr>
          <w:rFonts w:ascii="Arial" w:hAnsi="Arial" w:cs="Arial"/>
          <w:sz w:val="22"/>
          <w:szCs w:val="22"/>
        </w:rPr>
        <w:t>considera</w:t>
      </w:r>
      <w:r w:rsidR="4D95F54E" w:rsidRPr="027F12FB">
        <w:rPr>
          <w:rFonts w:ascii="Arial" w:hAnsi="Arial" w:cs="Arial"/>
          <w:sz w:val="22"/>
          <w:szCs w:val="22"/>
        </w:rPr>
        <w:t>n</w:t>
      </w:r>
      <w:r w:rsidR="10AC8018" w:rsidRPr="027F12FB">
        <w:rPr>
          <w:rFonts w:ascii="Arial" w:hAnsi="Arial" w:cs="Arial"/>
          <w:sz w:val="22"/>
          <w:szCs w:val="22"/>
        </w:rPr>
        <w:t xml:space="preserve"> tres vectores de gradualidad que modelan el</w:t>
      </w:r>
      <w:r w:rsidRPr="027F12FB">
        <w:rPr>
          <w:rFonts w:ascii="Arial" w:hAnsi="Arial" w:cs="Arial"/>
          <w:sz w:val="22"/>
          <w:szCs w:val="22"/>
        </w:rPr>
        <w:t xml:space="preserve"> tiempo necesario para observar los beneficios de las mejoras en</w:t>
      </w:r>
      <w:r w:rsidR="12CE49CC" w:rsidRPr="027F12FB">
        <w:rPr>
          <w:rFonts w:ascii="Arial" w:hAnsi="Arial" w:cs="Arial"/>
          <w:sz w:val="22"/>
          <w:szCs w:val="22"/>
        </w:rPr>
        <w:t xml:space="preserve"> las redes de servicios de salud</w:t>
      </w:r>
      <w:r w:rsidRPr="027F12FB">
        <w:rPr>
          <w:rFonts w:ascii="Arial" w:hAnsi="Arial" w:cs="Arial"/>
          <w:sz w:val="22"/>
          <w:szCs w:val="22"/>
        </w:rPr>
        <w:t xml:space="preserve">. En este </w:t>
      </w:r>
      <w:r w:rsidRPr="002C5041">
        <w:rPr>
          <w:rFonts w:ascii="Arial" w:hAnsi="Arial" w:cs="Arial"/>
          <w:sz w:val="22"/>
          <w:szCs w:val="22"/>
        </w:rPr>
        <w:t xml:space="preserve">sentido se espera </w:t>
      </w:r>
      <w:r w:rsidR="61B2485F" w:rsidRPr="002C5041">
        <w:rPr>
          <w:rFonts w:ascii="Arial" w:hAnsi="Arial" w:cs="Arial"/>
          <w:sz w:val="22"/>
          <w:szCs w:val="22"/>
        </w:rPr>
        <w:t xml:space="preserve">que </w:t>
      </w:r>
      <w:r w:rsidR="010844E3" w:rsidRPr="002C5041">
        <w:rPr>
          <w:rFonts w:ascii="Arial" w:hAnsi="Arial" w:cs="Arial"/>
          <w:sz w:val="22"/>
          <w:szCs w:val="22"/>
        </w:rPr>
        <w:t xml:space="preserve">los desembolsos comiencen en </w:t>
      </w:r>
      <w:r w:rsidR="325ACED3" w:rsidRPr="002C5041">
        <w:rPr>
          <w:rFonts w:ascii="Arial" w:hAnsi="Arial" w:cs="Arial"/>
          <w:sz w:val="22"/>
          <w:szCs w:val="22"/>
        </w:rPr>
        <w:t>202</w:t>
      </w:r>
      <w:r w:rsidR="00046932" w:rsidRPr="002C5041">
        <w:rPr>
          <w:rFonts w:ascii="Arial" w:hAnsi="Arial" w:cs="Arial"/>
          <w:sz w:val="22"/>
          <w:szCs w:val="22"/>
        </w:rPr>
        <w:t>3</w:t>
      </w:r>
      <w:r w:rsidR="5F436162" w:rsidRPr="002C5041">
        <w:rPr>
          <w:rFonts w:ascii="Arial" w:hAnsi="Arial" w:cs="Arial"/>
          <w:sz w:val="22"/>
          <w:szCs w:val="22"/>
        </w:rPr>
        <w:t xml:space="preserve"> y los primeros beneficios se observen </w:t>
      </w:r>
      <w:r w:rsidR="010844E3" w:rsidRPr="002C5041">
        <w:rPr>
          <w:rFonts w:ascii="Arial" w:hAnsi="Arial" w:cs="Arial"/>
          <w:sz w:val="22"/>
          <w:szCs w:val="22"/>
        </w:rPr>
        <w:t xml:space="preserve">en </w:t>
      </w:r>
      <w:r w:rsidR="19A3A32B" w:rsidRPr="002C5041">
        <w:rPr>
          <w:rFonts w:ascii="Arial" w:hAnsi="Arial" w:cs="Arial"/>
          <w:sz w:val="22"/>
          <w:szCs w:val="22"/>
        </w:rPr>
        <w:t>202</w:t>
      </w:r>
      <w:r w:rsidR="00046932" w:rsidRPr="002C5041">
        <w:rPr>
          <w:rFonts w:ascii="Arial" w:hAnsi="Arial" w:cs="Arial"/>
          <w:sz w:val="22"/>
          <w:szCs w:val="22"/>
        </w:rPr>
        <w:t>6</w:t>
      </w:r>
      <w:r w:rsidR="1D62D0BA" w:rsidRPr="002C5041">
        <w:rPr>
          <w:rFonts w:ascii="Arial" w:hAnsi="Arial" w:cs="Arial"/>
          <w:sz w:val="22"/>
          <w:szCs w:val="22"/>
        </w:rPr>
        <w:t>,</w:t>
      </w:r>
      <w:r w:rsidR="5F436162" w:rsidRPr="027F12FB">
        <w:rPr>
          <w:rFonts w:ascii="Arial" w:hAnsi="Arial" w:cs="Arial"/>
          <w:sz w:val="22"/>
          <w:szCs w:val="22"/>
        </w:rPr>
        <w:t xml:space="preserve"> aunque sean de una magnitud moderada</w:t>
      </w:r>
      <w:r w:rsidR="7C7904B4" w:rsidRPr="027F12FB">
        <w:rPr>
          <w:rFonts w:ascii="Arial" w:hAnsi="Arial" w:cs="Arial"/>
          <w:sz w:val="22"/>
          <w:szCs w:val="22"/>
        </w:rPr>
        <w:t>.</w:t>
      </w:r>
      <w:r w:rsidR="5F436162" w:rsidRPr="027F12FB">
        <w:rPr>
          <w:rFonts w:ascii="Arial" w:hAnsi="Arial" w:cs="Arial"/>
          <w:sz w:val="22"/>
          <w:szCs w:val="22"/>
        </w:rPr>
        <w:t xml:space="preserve"> El análisis considera los beneficios obtenidos durante los </w:t>
      </w:r>
      <w:r w:rsidR="042C5064" w:rsidRPr="027F12FB">
        <w:rPr>
          <w:rFonts w:ascii="Arial" w:hAnsi="Arial" w:cs="Arial"/>
          <w:sz w:val="22"/>
          <w:szCs w:val="22"/>
        </w:rPr>
        <w:t>cinco</w:t>
      </w:r>
      <w:r w:rsidR="5F436162" w:rsidRPr="027F12FB">
        <w:rPr>
          <w:rFonts w:ascii="Arial" w:hAnsi="Arial" w:cs="Arial"/>
          <w:sz w:val="22"/>
          <w:szCs w:val="22"/>
        </w:rPr>
        <w:t xml:space="preserve"> años de desembolso del préstamo. Esto coincide con los</w:t>
      </w:r>
      <w:r w:rsidR="56E0C201" w:rsidRPr="027F12FB">
        <w:rPr>
          <w:rFonts w:ascii="Arial" w:hAnsi="Arial" w:cs="Arial"/>
          <w:sz w:val="22"/>
          <w:szCs w:val="22"/>
        </w:rPr>
        <w:t xml:space="preserve"> indicadores de </w:t>
      </w:r>
      <w:r w:rsidR="5F436162" w:rsidRPr="027F12FB">
        <w:rPr>
          <w:rFonts w:ascii="Arial" w:hAnsi="Arial" w:cs="Arial"/>
          <w:sz w:val="22"/>
          <w:szCs w:val="22"/>
        </w:rPr>
        <w:t>resultados de la matriz de resultados espe</w:t>
      </w:r>
      <w:r w:rsidR="65A5700F" w:rsidRPr="027F12FB">
        <w:rPr>
          <w:rFonts w:ascii="Arial" w:hAnsi="Arial" w:cs="Arial"/>
          <w:sz w:val="22"/>
          <w:szCs w:val="22"/>
        </w:rPr>
        <w:t xml:space="preserve">rados para </w:t>
      </w:r>
      <w:r w:rsidR="0FD71C25" w:rsidRPr="027F12FB">
        <w:rPr>
          <w:rFonts w:ascii="Arial" w:hAnsi="Arial" w:cs="Arial"/>
          <w:sz w:val="22"/>
          <w:szCs w:val="22"/>
        </w:rPr>
        <w:t>202</w:t>
      </w:r>
      <w:r w:rsidR="69BE6A9D" w:rsidRPr="027F12FB">
        <w:rPr>
          <w:rFonts w:ascii="Arial" w:hAnsi="Arial" w:cs="Arial"/>
          <w:sz w:val="22"/>
          <w:szCs w:val="22"/>
        </w:rPr>
        <w:t>7</w:t>
      </w:r>
      <w:r w:rsidR="7136A056" w:rsidRPr="027F12FB">
        <w:rPr>
          <w:rFonts w:ascii="Arial" w:hAnsi="Arial" w:cs="Arial"/>
          <w:sz w:val="22"/>
          <w:szCs w:val="22"/>
        </w:rPr>
        <w:t xml:space="preserve"> y el horizonte de los indicadores </w:t>
      </w:r>
      <w:r w:rsidR="7FE19D81" w:rsidRPr="027F12FB">
        <w:rPr>
          <w:rFonts w:ascii="Arial" w:hAnsi="Arial" w:cs="Arial"/>
          <w:sz w:val="22"/>
          <w:szCs w:val="22"/>
        </w:rPr>
        <w:t>de impacto</w:t>
      </w:r>
      <w:r w:rsidR="65A5700F" w:rsidRPr="027F12FB">
        <w:rPr>
          <w:rFonts w:ascii="Arial" w:hAnsi="Arial" w:cs="Arial"/>
          <w:sz w:val="22"/>
          <w:szCs w:val="22"/>
        </w:rPr>
        <w:t>. Sin embargo</w:t>
      </w:r>
      <w:r w:rsidR="7419CA12" w:rsidRPr="027F12FB">
        <w:rPr>
          <w:rFonts w:ascii="Arial" w:hAnsi="Arial" w:cs="Arial"/>
          <w:sz w:val="22"/>
          <w:szCs w:val="22"/>
        </w:rPr>
        <w:t>,</w:t>
      </w:r>
      <w:r w:rsidR="65A5700F" w:rsidRPr="027F12FB">
        <w:rPr>
          <w:rFonts w:ascii="Arial" w:hAnsi="Arial" w:cs="Arial"/>
          <w:sz w:val="22"/>
          <w:szCs w:val="22"/>
        </w:rPr>
        <w:t xml:space="preserve"> se prevé que el </w:t>
      </w:r>
      <w:r w:rsidR="7CA2C1DB" w:rsidRPr="027F12FB">
        <w:rPr>
          <w:rFonts w:ascii="Arial" w:hAnsi="Arial" w:cs="Arial"/>
          <w:sz w:val="22"/>
          <w:szCs w:val="22"/>
        </w:rPr>
        <w:t>programa</w:t>
      </w:r>
      <w:r w:rsidR="65A5700F" w:rsidRPr="027F12FB">
        <w:rPr>
          <w:rFonts w:ascii="Arial" w:hAnsi="Arial" w:cs="Arial"/>
          <w:sz w:val="22"/>
          <w:szCs w:val="22"/>
        </w:rPr>
        <w:t xml:space="preserve"> permita apalancar más beneficios en los años subsecuentes al periodo de desembolso, aunque para cosechar </w:t>
      </w:r>
      <w:r w:rsidR="77822003" w:rsidRPr="00D1482E">
        <w:rPr>
          <w:rFonts w:ascii="Arial" w:hAnsi="Arial" w:cs="Arial"/>
          <w:sz w:val="22"/>
          <w:szCs w:val="22"/>
        </w:rPr>
        <w:t xml:space="preserve">algunos de </w:t>
      </w:r>
      <w:r w:rsidR="65A5700F" w:rsidRPr="00D1482E">
        <w:rPr>
          <w:rFonts w:ascii="Arial" w:hAnsi="Arial" w:cs="Arial"/>
          <w:sz w:val="22"/>
          <w:szCs w:val="22"/>
        </w:rPr>
        <w:t xml:space="preserve">estos beneficios se requiere de una inversión adicional que asegure la </w:t>
      </w:r>
      <w:r w:rsidR="77822003" w:rsidRPr="00D1482E">
        <w:rPr>
          <w:rFonts w:ascii="Arial" w:hAnsi="Arial" w:cs="Arial"/>
          <w:sz w:val="22"/>
          <w:szCs w:val="22"/>
        </w:rPr>
        <w:t xml:space="preserve">continuidad en la </w:t>
      </w:r>
      <w:r w:rsidR="65A5700F" w:rsidRPr="00D1482E">
        <w:rPr>
          <w:rFonts w:ascii="Arial" w:hAnsi="Arial" w:cs="Arial"/>
          <w:sz w:val="22"/>
          <w:szCs w:val="22"/>
        </w:rPr>
        <w:t>prestación de los servicios</w:t>
      </w:r>
      <w:r w:rsidR="7C7904B4" w:rsidRPr="00D1482E">
        <w:rPr>
          <w:rFonts w:ascii="Arial" w:hAnsi="Arial" w:cs="Arial"/>
          <w:sz w:val="22"/>
          <w:szCs w:val="22"/>
        </w:rPr>
        <w:t>.</w:t>
      </w:r>
      <w:r w:rsidR="65A5700F" w:rsidRPr="00D1482E">
        <w:rPr>
          <w:rFonts w:ascii="Arial" w:hAnsi="Arial" w:cs="Arial"/>
          <w:sz w:val="22"/>
          <w:szCs w:val="22"/>
        </w:rPr>
        <w:t xml:space="preserve"> Por esta razón se agrega un análisis de costo beneficio con un horizonte más amplio que comprende de</w:t>
      </w:r>
      <w:r w:rsidR="19A3A32B" w:rsidRPr="00D1482E">
        <w:rPr>
          <w:rFonts w:ascii="Arial" w:hAnsi="Arial" w:cs="Arial"/>
          <w:sz w:val="22"/>
          <w:szCs w:val="22"/>
        </w:rPr>
        <w:t xml:space="preserve"> </w:t>
      </w:r>
      <w:r w:rsidR="0FD71C25" w:rsidRPr="00D1482E">
        <w:rPr>
          <w:rFonts w:ascii="Arial" w:hAnsi="Arial" w:cs="Arial"/>
          <w:sz w:val="22"/>
          <w:szCs w:val="22"/>
        </w:rPr>
        <w:t>2022</w:t>
      </w:r>
      <w:r w:rsidR="6FA01521" w:rsidRPr="00D1482E">
        <w:rPr>
          <w:rFonts w:ascii="Arial" w:hAnsi="Arial" w:cs="Arial"/>
          <w:sz w:val="22"/>
          <w:szCs w:val="22"/>
        </w:rPr>
        <w:t>-20</w:t>
      </w:r>
      <w:r w:rsidR="26A082B0" w:rsidRPr="00D1482E">
        <w:rPr>
          <w:rFonts w:ascii="Arial" w:hAnsi="Arial" w:cs="Arial"/>
          <w:sz w:val="22"/>
          <w:szCs w:val="22"/>
        </w:rPr>
        <w:t>3</w:t>
      </w:r>
      <w:r w:rsidR="0FD71C25" w:rsidRPr="00D1482E">
        <w:rPr>
          <w:rFonts w:ascii="Arial" w:hAnsi="Arial" w:cs="Arial"/>
          <w:sz w:val="22"/>
          <w:szCs w:val="22"/>
        </w:rPr>
        <w:t>2</w:t>
      </w:r>
      <w:r w:rsidR="6FA01521" w:rsidRPr="00D1482E">
        <w:rPr>
          <w:rFonts w:ascii="Arial" w:hAnsi="Arial" w:cs="Arial"/>
          <w:sz w:val="22"/>
          <w:szCs w:val="22"/>
        </w:rPr>
        <w:t xml:space="preserve">. </w:t>
      </w:r>
      <w:r w:rsidR="65A5700F" w:rsidRPr="00D1482E">
        <w:rPr>
          <w:rFonts w:ascii="Arial" w:hAnsi="Arial" w:cs="Arial"/>
          <w:sz w:val="22"/>
          <w:szCs w:val="22"/>
        </w:rPr>
        <w:t>En</w:t>
      </w:r>
      <w:r w:rsidR="076B2913" w:rsidRPr="00D1482E">
        <w:rPr>
          <w:rFonts w:ascii="Arial" w:hAnsi="Arial" w:cs="Arial"/>
          <w:sz w:val="22"/>
          <w:szCs w:val="22"/>
        </w:rPr>
        <w:t> </w:t>
      </w:r>
      <w:r w:rsidR="65A5700F" w:rsidRPr="00D1482E">
        <w:rPr>
          <w:rFonts w:ascii="Arial" w:hAnsi="Arial" w:cs="Arial"/>
          <w:sz w:val="22"/>
          <w:szCs w:val="22"/>
        </w:rPr>
        <w:t>este análisis</w:t>
      </w:r>
      <w:r w:rsidR="6FA01521" w:rsidRPr="00D1482E">
        <w:rPr>
          <w:rFonts w:ascii="Arial" w:hAnsi="Arial" w:cs="Arial"/>
          <w:sz w:val="22"/>
          <w:szCs w:val="22"/>
        </w:rPr>
        <w:t xml:space="preserve"> alternativo</w:t>
      </w:r>
      <w:r w:rsidR="65A5700F" w:rsidRPr="00D1482E">
        <w:rPr>
          <w:rFonts w:ascii="Arial" w:hAnsi="Arial" w:cs="Arial"/>
          <w:sz w:val="22"/>
          <w:szCs w:val="22"/>
        </w:rPr>
        <w:t xml:space="preserve"> se considera un factor de sobrecosto</w:t>
      </w:r>
      <w:r w:rsidR="6FA01521" w:rsidRPr="00D1482E">
        <w:rPr>
          <w:rFonts w:ascii="Arial" w:hAnsi="Arial" w:cs="Arial"/>
          <w:sz w:val="22"/>
          <w:szCs w:val="22"/>
        </w:rPr>
        <w:t xml:space="preserve"> de </w:t>
      </w:r>
      <w:r w:rsidR="7A85DDEA" w:rsidRPr="00D1482E">
        <w:rPr>
          <w:rFonts w:ascii="Arial" w:hAnsi="Arial" w:cs="Arial"/>
          <w:sz w:val="22"/>
          <w:szCs w:val="22"/>
        </w:rPr>
        <w:t xml:space="preserve">alrededor de </w:t>
      </w:r>
      <w:r w:rsidR="28321B5B" w:rsidRPr="00D1482E">
        <w:rPr>
          <w:rFonts w:ascii="Arial" w:hAnsi="Arial" w:cs="Arial"/>
          <w:sz w:val="22"/>
          <w:szCs w:val="22"/>
        </w:rPr>
        <w:t>US$</w:t>
      </w:r>
      <w:r w:rsidR="336B767D" w:rsidRPr="00D1482E">
        <w:rPr>
          <w:rFonts w:ascii="Arial" w:hAnsi="Arial" w:cs="Arial"/>
          <w:sz w:val="22"/>
          <w:szCs w:val="22"/>
        </w:rPr>
        <w:t>3.4</w:t>
      </w:r>
      <w:r w:rsidR="0A913788" w:rsidRPr="00D1482E">
        <w:rPr>
          <w:rFonts w:ascii="Arial" w:hAnsi="Arial" w:cs="Arial"/>
          <w:sz w:val="22"/>
          <w:szCs w:val="22"/>
        </w:rPr>
        <w:t xml:space="preserve"> </w:t>
      </w:r>
      <w:r w:rsidR="6FA01521" w:rsidRPr="00D1482E">
        <w:rPr>
          <w:rFonts w:ascii="Arial" w:hAnsi="Arial" w:cs="Arial"/>
          <w:sz w:val="22"/>
          <w:szCs w:val="22"/>
        </w:rPr>
        <w:t>millones</w:t>
      </w:r>
      <w:r w:rsidR="2F9C9913" w:rsidRPr="00D1482E">
        <w:rPr>
          <w:rFonts w:ascii="Arial" w:hAnsi="Arial" w:cs="Arial"/>
          <w:sz w:val="22"/>
          <w:szCs w:val="22"/>
        </w:rPr>
        <w:t xml:space="preserve"> </w:t>
      </w:r>
      <w:r w:rsidR="6FA01521" w:rsidRPr="00D1482E">
        <w:rPr>
          <w:rFonts w:ascii="Arial" w:hAnsi="Arial" w:cs="Arial"/>
          <w:sz w:val="22"/>
          <w:szCs w:val="22"/>
        </w:rPr>
        <w:t>anuales</w:t>
      </w:r>
      <w:r w:rsidR="65A5700F" w:rsidRPr="00D1482E">
        <w:rPr>
          <w:rFonts w:ascii="Arial" w:hAnsi="Arial" w:cs="Arial"/>
          <w:sz w:val="22"/>
          <w:szCs w:val="22"/>
        </w:rPr>
        <w:t xml:space="preserve"> que representa </w:t>
      </w:r>
      <w:r w:rsidR="13C35C07" w:rsidRPr="00D1482E">
        <w:rPr>
          <w:rFonts w:ascii="Arial" w:hAnsi="Arial" w:cs="Arial"/>
          <w:sz w:val="22"/>
          <w:szCs w:val="22"/>
        </w:rPr>
        <w:t xml:space="preserve">un gasto </w:t>
      </w:r>
      <w:r w:rsidR="65A5700F" w:rsidRPr="00D1482E">
        <w:rPr>
          <w:rFonts w:ascii="Arial" w:hAnsi="Arial" w:cs="Arial"/>
          <w:sz w:val="22"/>
          <w:szCs w:val="22"/>
        </w:rPr>
        <w:t xml:space="preserve">adicional que </w:t>
      </w:r>
      <w:r w:rsidR="13C35C07" w:rsidRPr="00D1482E">
        <w:rPr>
          <w:rFonts w:ascii="Arial" w:hAnsi="Arial" w:cs="Arial"/>
          <w:sz w:val="22"/>
          <w:szCs w:val="22"/>
        </w:rPr>
        <w:t xml:space="preserve">es </w:t>
      </w:r>
      <w:r w:rsidR="65A5700F" w:rsidRPr="00D1482E">
        <w:rPr>
          <w:rFonts w:ascii="Arial" w:hAnsi="Arial" w:cs="Arial"/>
          <w:sz w:val="22"/>
          <w:szCs w:val="22"/>
        </w:rPr>
        <w:t>necesari</w:t>
      </w:r>
      <w:r w:rsidR="13C35C07" w:rsidRPr="00D1482E">
        <w:rPr>
          <w:rFonts w:ascii="Arial" w:hAnsi="Arial" w:cs="Arial"/>
          <w:sz w:val="22"/>
          <w:szCs w:val="22"/>
        </w:rPr>
        <w:t>o</w:t>
      </w:r>
      <w:r w:rsidR="65A5700F" w:rsidRPr="00D1482E">
        <w:rPr>
          <w:rFonts w:ascii="Arial" w:hAnsi="Arial" w:cs="Arial"/>
          <w:sz w:val="22"/>
          <w:szCs w:val="22"/>
        </w:rPr>
        <w:t xml:space="preserve"> para cosechar los beneficios</w:t>
      </w:r>
      <w:r w:rsidR="04AC8B84" w:rsidRPr="00D1482E">
        <w:rPr>
          <w:rFonts w:ascii="Arial" w:hAnsi="Arial" w:cs="Arial"/>
          <w:sz w:val="22"/>
          <w:szCs w:val="22"/>
        </w:rPr>
        <w:t xml:space="preserve"> y que </w:t>
      </w:r>
      <w:r w:rsidR="19A3A32B" w:rsidRPr="00D1482E">
        <w:rPr>
          <w:rFonts w:ascii="Arial" w:hAnsi="Arial" w:cs="Arial"/>
          <w:sz w:val="22"/>
          <w:szCs w:val="22"/>
        </w:rPr>
        <w:t xml:space="preserve">tendrá que asumir el </w:t>
      </w:r>
      <w:r w:rsidR="69BE6A9D" w:rsidRPr="00D1482E">
        <w:rPr>
          <w:rFonts w:ascii="Arial" w:hAnsi="Arial" w:cs="Arial"/>
          <w:sz w:val="22"/>
          <w:szCs w:val="22"/>
        </w:rPr>
        <w:t>ESE</w:t>
      </w:r>
      <w:r w:rsidR="010844E3" w:rsidRPr="00D1482E">
        <w:rPr>
          <w:rFonts w:ascii="Arial" w:hAnsi="Arial" w:cs="Arial"/>
          <w:sz w:val="22"/>
          <w:szCs w:val="22"/>
        </w:rPr>
        <w:t xml:space="preserve"> </w:t>
      </w:r>
      <w:r w:rsidR="04AC8B84" w:rsidRPr="00D1482E">
        <w:rPr>
          <w:rFonts w:ascii="Arial" w:hAnsi="Arial" w:cs="Arial"/>
          <w:sz w:val="22"/>
          <w:szCs w:val="22"/>
        </w:rPr>
        <w:t>una vez que se haya concluido</w:t>
      </w:r>
      <w:r w:rsidR="010844E3" w:rsidRPr="00D1482E">
        <w:rPr>
          <w:rFonts w:ascii="Arial" w:hAnsi="Arial" w:cs="Arial"/>
          <w:sz w:val="22"/>
          <w:szCs w:val="22"/>
        </w:rPr>
        <w:t xml:space="preserve"> el </w:t>
      </w:r>
      <w:r w:rsidR="19A3A32B" w:rsidRPr="00D1482E">
        <w:rPr>
          <w:rFonts w:ascii="Arial" w:eastAsiaTheme="minorEastAsia" w:hAnsi="Arial" w:cs="Arial"/>
          <w:sz w:val="22"/>
          <w:szCs w:val="22"/>
        </w:rPr>
        <w:t>programa</w:t>
      </w:r>
      <w:r w:rsidR="04AC8B84" w:rsidRPr="00D1482E">
        <w:rPr>
          <w:rFonts w:ascii="Arial" w:hAnsi="Arial" w:cs="Arial"/>
          <w:sz w:val="22"/>
          <w:szCs w:val="22"/>
        </w:rPr>
        <w:t xml:space="preserve">. Esto </w:t>
      </w:r>
      <w:r w:rsidR="7B736A24" w:rsidRPr="00D1482E">
        <w:rPr>
          <w:rFonts w:ascii="Arial" w:hAnsi="Arial" w:cs="Arial"/>
          <w:sz w:val="22"/>
          <w:szCs w:val="22"/>
        </w:rPr>
        <w:t>incluye,</w:t>
      </w:r>
      <w:r w:rsidR="04AC8B84" w:rsidRPr="00D1482E">
        <w:rPr>
          <w:rFonts w:ascii="Arial" w:hAnsi="Arial" w:cs="Arial"/>
          <w:sz w:val="22"/>
          <w:szCs w:val="22"/>
        </w:rPr>
        <w:t xml:space="preserve"> </w:t>
      </w:r>
      <w:r w:rsidR="65A5700F" w:rsidRPr="00D1482E">
        <w:rPr>
          <w:rFonts w:ascii="Arial" w:hAnsi="Arial" w:cs="Arial"/>
          <w:sz w:val="22"/>
          <w:szCs w:val="22"/>
        </w:rPr>
        <w:t>por ejemplo, mantenimiento, rec</w:t>
      </w:r>
      <w:r w:rsidR="04AC8B84" w:rsidRPr="00D1482E">
        <w:rPr>
          <w:rFonts w:ascii="Arial" w:hAnsi="Arial" w:cs="Arial"/>
          <w:sz w:val="22"/>
          <w:szCs w:val="22"/>
        </w:rPr>
        <w:t>ursos humanos e insumos médicos</w:t>
      </w:r>
      <w:r w:rsidR="65A5700F" w:rsidRPr="00D1482E">
        <w:rPr>
          <w:rFonts w:ascii="Arial" w:hAnsi="Arial" w:cs="Arial"/>
          <w:sz w:val="22"/>
          <w:szCs w:val="22"/>
        </w:rPr>
        <w:t>.</w:t>
      </w:r>
      <w:r w:rsidR="7C7904B4" w:rsidRPr="00D1482E">
        <w:rPr>
          <w:rFonts w:ascii="Arial" w:hAnsi="Arial" w:cs="Arial"/>
          <w:sz w:val="22"/>
          <w:szCs w:val="22"/>
        </w:rPr>
        <w:t xml:space="preserve"> </w:t>
      </w:r>
      <w:r w:rsidR="77CA73FE" w:rsidRPr="00D1482E">
        <w:rPr>
          <w:rFonts w:ascii="Arial" w:hAnsi="Arial" w:cs="Arial"/>
          <w:sz w:val="22"/>
          <w:szCs w:val="22"/>
        </w:rPr>
        <w:t xml:space="preserve">El análisis económico indica que los beneficios del </w:t>
      </w:r>
      <w:r w:rsidR="7CA2C1DB" w:rsidRPr="00D1482E">
        <w:rPr>
          <w:rFonts w:ascii="Arial" w:hAnsi="Arial" w:cs="Arial"/>
          <w:sz w:val="22"/>
          <w:szCs w:val="22"/>
        </w:rPr>
        <w:t>programa</w:t>
      </w:r>
      <w:r w:rsidR="77CA73FE" w:rsidRPr="00D1482E">
        <w:rPr>
          <w:rFonts w:ascii="Arial" w:hAnsi="Arial" w:cs="Arial"/>
          <w:sz w:val="22"/>
          <w:szCs w:val="22"/>
        </w:rPr>
        <w:t xml:space="preserve"> exceden los costos. La razón entre los beneficios y costos es de</w:t>
      </w:r>
      <w:r w:rsidR="35BC7F12" w:rsidRPr="00D1482E">
        <w:rPr>
          <w:rFonts w:ascii="Arial" w:hAnsi="Arial" w:cs="Arial"/>
          <w:sz w:val="22"/>
          <w:szCs w:val="22"/>
        </w:rPr>
        <w:t xml:space="preserve"> </w:t>
      </w:r>
      <w:r w:rsidR="69BE6A9D" w:rsidRPr="00D1482E">
        <w:rPr>
          <w:rFonts w:ascii="Arial" w:hAnsi="Arial" w:cs="Arial"/>
          <w:sz w:val="22"/>
          <w:szCs w:val="22"/>
        </w:rPr>
        <w:t>1,</w:t>
      </w:r>
      <w:r w:rsidR="008D3D0D" w:rsidRPr="00D1482E">
        <w:rPr>
          <w:rFonts w:ascii="Arial" w:hAnsi="Arial" w:cs="Arial"/>
          <w:sz w:val="22"/>
          <w:szCs w:val="22"/>
        </w:rPr>
        <w:t>75</w:t>
      </w:r>
      <w:r w:rsidR="35BC7F12" w:rsidRPr="00D1482E">
        <w:rPr>
          <w:rFonts w:ascii="Arial" w:hAnsi="Arial" w:cs="Arial"/>
          <w:sz w:val="22"/>
          <w:szCs w:val="22"/>
        </w:rPr>
        <w:t xml:space="preserve"> </w:t>
      </w:r>
      <w:r w:rsidR="77CA73FE" w:rsidRPr="00D1482E">
        <w:rPr>
          <w:rFonts w:ascii="Arial" w:hAnsi="Arial" w:cs="Arial"/>
          <w:sz w:val="22"/>
          <w:szCs w:val="22"/>
        </w:rPr>
        <w:t>cuando se considera</w:t>
      </w:r>
      <w:r w:rsidR="5B459620" w:rsidRPr="00D1482E">
        <w:rPr>
          <w:rFonts w:ascii="Arial" w:hAnsi="Arial" w:cs="Arial"/>
          <w:sz w:val="22"/>
          <w:szCs w:val="22"/>
        </w:rPr>
        <w:t xml:space="preserve"> un horizo</w:t>
      </w:r>
      <w:r w:rsidR="184010D1" w:rsidRPr="00D1482E">
        <w:rPr>
          <w:rFonts w:ascii="Arial" w:hAnsi="Arial" w:cs="Arial"/>
          <w:sz w:val="22"/>
          <w:szCs w:val="22"/>
        </w:rPr>
        <w:t>n</w:t>
      </w:r>
      <w:r w:rsidR="19A3A32B" w:rsidRPr="00D1482E">
        <w:rPr>
          <w:rFonts w:ascii="Arial" w:hAnsi="Arial" w:cs="Arial"/>
          <w:sz w:val="22"/>
          <w:szCs w:val="22"/>
        </w:rPr>
        <w:t>te de tiempo de cinco años (20</w:t>
      </w:r>
      <w:r w:rsidR="415BE1C9" w:rsidRPr="00D1482E">
        <w:rPr>
          <w:rFonts w:ascii="Arial" w:hAnsi="Arial" w:cs="Arial"/>
          <w:sz w:val="22"/>
          <w:szCs w:val="22"/>
        </w:rPr>
        <w:t>2</w:t>
      </w:r>
      <w:r w:rsidR="69BE6A9D" w:rsidRPr="00D1482E">
        <w:rPr>
          <w:rFonts w:ascii="Arial" w:hAnsi="Arial" w:cs="Arial"/>
          <w:sz w:val="22"/>
          <w:szCs w:val="22"/>
        </w:rPr>
        <w:t>3</w:t>
      </w:r>
      <w:r w:rsidR="5B459620" w:rsidRPr="00D1482E">
        <w:rPr>
          <w:rFonts w:ascii="Arial" w:hAnsi="Arial" w:cs="Arial"/>
          <w:sz w:val="22"/>
          <w:szCs w:val="22"/>
        </w:rPr>
        <w:t>-202</w:t>
      </w:r>
      <w:r w:rsidR="69BE6A9D" w:rsidRPr="00D1482E">
        <w:rPr>
          <w:rFonts w:ascii="Arial" w:hAnsi="Arial" w:cs="Arial"/>
          <w:sz w:val="22"/>
          <w:szCs w:val="22"/>
        </w:rPr>
        <w:t>7)</w:t>
      </w:r>
      <w:r w:rsidR="5B459620" w:rsidRPr="00D1482E">
        <w:rPr>
          <w:rFonts w:ascii="Arial" w:hAnsi="Arial" w:cs="Arial"/>
          <w:sz w:val="22"/>
          <w:szCs w:val="22"/>
        </w:rPr>
        <w:t xml:space="preserve"> y</w:t>
      </w:r>
      <w:r w:rsidR="77CA73FE" w:rsidRPr="00D1482E">
        <w:rPr>
          <w:rFonts w:ascii="Arial" w:hAnsi="Arial" w:cs="Arial"/>
          <w:sz w:val="22"/>
          <w:szCs w:val="22"/>
        </w:rPr>
        <w:t xml:space="preserve"> un escenario conservador. Este escenario supone que el </w:t>
      </w:r>
      <w:r w:rsidR="19A3A32B" w:rsidRPr="00D1482E">
        <w:rPr>
          <w:rFonts w:ascii="Arial" w:eastAsiaTheme="minorEastAsia" w:hAnsi="Arial" w:cs="Arial"/>
          <w:sz w:val="22"/>
          <w:szCs w:val="22"/>
        </w:rPr>
        <w:t>programa</w:t>
      </w:r>
      <w:r w:rsidR="00DAF8E0" w:rsidRPr="00D1482E">
        <w:rPr>
          <w:rFonts w:ascii="Arial" w:hAnsi="Arial" w:cs="Arial"/>
          <w:sz w:val="22"/>
          <w:szCs w:val="22"/>
        </w:rPr>
        <w:t xml:space="preserve"> </w:t>
      </w:r>
      <w:r w:rsidR="77CA73FE" w:rsidRPr="00D1482E">
        <w:rPr>
          <w:rFonts w:ascii="Arial" w:hAnsi="Arial" w:cs="Arial"/>
          <w:sz w:val="22"/>
          <w:szCs w:val="22"/>
        </w:rPr>
        <w:t>aumenta la cobertura efectiva de manera media y utiliza un vector de gradualidad regular en el que los beneficios se alcanzan gradualmente</w:t>
      </w:r>
      <w:r w:rsidR="5385329C" w:rsidRPr="00D1482E">
        <w:rPr>
          <w:rFonts w:ascii="Arial" w:hAnsi="Arial" w:cs="Arial"/>
          <w:sz w:val="22"/>
          <w:szCs w:val="22"/>
        </w:rPr>
        <w:t xml:space="preserve">; para </w:t>
      </w:r>
      <w:r w:rsidR="72D03A44" w:rsidRPr="00D1482E">
        <w:rPr>
          <w:rFonts w:ascii="Arial" w:hAnsi="Arial" w:cs="Arial"/>
          <w:sz w:val="22"/>
          <w:szCs w:val="22"/>
        </w:rPr>
        <w:t>202</w:t>
      </w:r>
      <w:r w:rsidR="422D7BE1" w:rsidRPr="00D1482E">
        <w:rPr>
          <w:rFonts w:ascii="Arial" w:hAnsi="Arial" w:cs="Arial"/>
          <w:sz w:val="22"/>
          <w:szCs w:val="22"/>
        </w:rPr>
        <w:t>7</w:t>
      </w:r>
      <w:r w:rsidR="5385329C" w:rsidRPr="00D1482E">
        <w:rPr>
          <w:rFonts w:ascii="Arial" w:hAnsi="Arial" w:cs="Arial"/>
          <w:sz w:val="22"/>
          <w:szCs w:val="22"/>
        </w:rPr>
        <w:t xml:space="preserve"> </w:t>
      </w:r>
      <w:r w:rsidR="6CFB83E4" w:rsidRPr="00D1482E">
        <w:rPr>
          <w:rFonts w:ascii="Arial" w:hAnsi="Arial" w:cs="Arial"/>
          <w:sz w:val="22"/>
          <w:szCs w:val="22"/>
        </w:rPr>
        <w:t>sólo se alcanza el 30%</w:t>
      </w:r>
      <w:r w:rsidR="2A8ED7CF" w:rsidRPr="00D1482E">
        <w:rPr>
          <w:rFonts w:ascii="Arial" w:hAnsi="Arial" w:cs="Arial"/>
          <w:sz w:val="22"/>
          <w:szCs w:val="22"/>
        </w:rPr>
        <w:t>.</w:t>
      </w:r>
      <w:r w:rsidR="5385329C" w:rsidRPr="00D1482E">
        <w:rPr>
          <w:rFonts w:ascii="Arial" w:hAnsi="Arial" w:cs="Arial"/>
          <w:sz w:val="22"/>
          <w:szCs w:val="22"/>
        </w:rPr>
        <w:t xml:space="preserve"> </w:t>
      </w:r>
      <w:r w:rsidR="747C5A91" w:rsidRPr="00D1482E">
        <w:rPr>
          <w:rFonts w:ascii="Arial" w:hAnsi="Arial" w:cs="Arial"/>
          <w:sz w:val="22"/>
          <w:szCs w:val="22"/>
        </w:rPr>
        <w:t>La</w:t>
      </w:r>
      <w:r w:rsidR="19A3A32B" w:rsidRPr="00D1482E">
        <w:rPr>
          <w:rFonts w:ascii="Arial" w:hAnsi="Arial" w:cs="Arial"/>
          <w:sz w:val="22"/>
          <w:szCs w:val="22"/>
        </w:rPr>
        <w:t xml:space="preserve"> tasa interna de retorno </w:t>
      </w:r>
      <w:r w:rsidR="2A8ED7CF" w:rsidRPr="00D1482E">
        <w:rPr>
          <w:rFonts w:ascii="Arial" w:hAnsi="Arial" w:cs="Arial"/>
          <w:sz w:val="22"/>
          <w:szCs w:val="22"/>
        </w:rPr>
        <w:t xml:space="preserve">total </w:t>
      </w:r>
      <w:r w:rsidR="747C5A91" w:rsidRPr="00D1482E">
        <w:rPr>
          <w:rFonts w:ascii="Arial" w:hAnsi="Arial" w:cs="Arial"/>
          <w:sz w:val="22"/>
          <w:szCs w:val="22"/>
        </w:rPr>
        <w:t xml:space="preserve">del programa </w:t>
      </w:r>
      <w:r w:rsidR="19A3A32B" w:rsidRPr="00D1482E">
        <w:rPr>
          <w:rFonts w:ascii="Arial" w:hAnsi="Arial" w:cs="Arial"/>
          <w:sz w:val="22"/>
          <w:szCs w:val="22"/>
        </w:rPr>
        <w:t xml:space="preserve">es </w:t>
      </w:r>
      <w:r w:rsidR="2FBAC7C6" w:rsidRPr="00D1482E">
        <w:rPr>
          <w:rFonts w:ascii="Arial" w:hAnsi="Arial" w:cs="Arial"/>
          <w:sz w:val="22"/>
          <w:szCs w:val="22"/>
        </w:rPr>
        <w:t>2</w:t>
      </w:r>
      <w:r w:rsidR="008D3D0D" w:rsidRPr="00D1482E">
        <w:rPr>
          <w:rFonts w:ascii="Arial" w:hAnsi="Arial" w:cs="Arial"/>
          <w:sz w:val="22"/>
          <w:szCs w:val="22"/>
        </w:rPr>
        <w:t>2</w:t>
      </w:r>
      <w:r w:rsidR="737A9B16" w:rsidRPr="00D1482E">
        <w:rPr>
          <w:rFonts w:ascii="Arial" w:hAnsi="Arial" w:cs="Arial"/>
          <w:sz w:val="22"/>
          <w:szCs w:val="22"/>
        </w:rPr>
        <w:t>%</w:t>
      </w:r>
      <w:r w:rsidR="4B9E47FB" w:rsidRPr="00D1482E">
        <w:rPr>
          <w:rFonts w:ascii="Arial" w:hAnsi="Arial" w:cs="Arial"/>
          <w:sz w:val="22"/>
          <w:szCs w:val="22"/>
        </w:rPr>
        <w:t xml:space="preserve"> </w:t>
      </w:r>
    </w:p>
    <w:p w14:paraId="5E78654E" w14:textId="6B9F4557" w:rsidR="002F5E0E" w:rsidRPr="00210A53" w:rsidRDefault="77CA73FE" w:rsidP="027F12FB">
      <w:pPr>
        <w:spacing w:before="120" w:after="100" w:afterAutospacing="1"/>
        <w:jc w:val="both"/>
        <w:rPr>
          <w:rFonts w:ascii="Arial" w:hAnsi="Arial" w:cs="Arial"/>
          <w:sz w:val="22"/>
          <w:szCs w:val="22"/>
        </w:rPr>
      </w:pPr>
      <w:r w:rsidRPr="00D1482E">
        <w:rPr>
          <w:rFonts w:ascii="Arial" w:hAnsi="Arial" w:cs="Arial"/>
          <w:sz w:val="22"/>
          <w:szCs w:val="22"/>
        </w:rPr>
        <w:t>De manera complementaria se presenta un análisis con un horizo</w:t>
      </w:r>
      <w:r w:rsidR="5EE26F14" w:rsidRPr="00D1482E">
        <w:rPr>
          <w:rFonts w:ascii="Arial" w:hAnsi="Arial" w:cs="Arial"/>
          <w:sz w:val="22"/>
          <w:szCs w:val="22"/>
        </w:rPr>
        <w:t>nte más prolongado</w:t>
      </w:r>
      <w:r w:rsidR="19A3A32B" w:rsidRPr="00D1482E">
        <w:rPr>
          <w:rFonts w:ascii="Arial" w:hAnsi="Arial" w:cs="Arial"/>
          <w:sz w:val="22"/>
          <w:szCs w:val="22"/>
        </w:rPr>
        <w:t xml:space="preserve"> (20</w:t>
      </w:r>
      <w:r w:rsidR="0D58269A" w:rsidRPr="00D1482E">
        <w:rPr>
          <w:rFonts w:ascii="Arial" w:hAnsi="Arial" w:cs="Arial"/>
          <w:sz w:val="22"/>
          <w:szCs w:val="22"/>
        </w:rPr>
        <w:t>2</w:t>
      </w:r>
      <w:r w:rsidR="13B081DF" w:rsidRPr="00D1482E">
        <w:rPr>
          <w:rFonts w:ascii="Arial" w:hAnsi="Arial" w:cs="Arial"/>
          <w:sz w:val="22"/>
          <w:szCs w:val="22"/>
        </w:rPr>
        <w:t>2-</w:t>
      </w:r>
      <w:r w:rsidR="00002ADB" w:rsidRPr="00D1482E">
        <w:rPr>
          <w:rFonts w:ascii="Arial" w:hAnsi="Arial" w:cs="Arial"/>
          <w:sz w:val="22"/>
          <w:szCs w:val="22"/>
        </w:rPr>
        <w:noBreakHyphen/>
      </w:r>
      <w:r w:rsidR="533FBE7B" w:rsidRPr="00D1482E">
        <w:rPr>
          <w:rFonts w:ascii="Arial" w:hAnsi="Arial" w:cs="Arial"/>
          <w:sz w:val="22"/>
          <w:szCs w:val="22"/>
        </w:rPr>
        <w:t>20</w:t>
      </w:r>
      <w:r w:rsidR="0D58269A" w:rsidRPr="00D1482E">
        <w:rPr>
          <w:rFonts w:ascii="Arial" w:hAnsi="Arial" w:cs="Arial"/>
          <w:sz w:val="22"/>
          <w:szCs w:val="22"/>
        </w:rPr>
        <w:t>3</w:t>
      </w:r>
      <w:r w:rsidR="13B081DF" w:rsidRPr="00D1482E">
        <w:rPr>
          <w:rFonts w:ascii="Arial" w:hAnsi="Arial" w:cs="Arial"/>
          <w:sz w:val="22"/>
          <w:szCs w:val="22"/>
        </w:rPr>
        <w:t>2</w:t>
      </w:r>
      <w:r w:rsidR="5B459620" w:rsidRPr="00D1482E">
        <w:rPr>
          <w:rFonts w:ascii="Arial" w:hAnsi="Arial" w:cs="Arial"/>
          <w:sz w:val="22"/>
          <w:szCs w:val="22"/>
        </w:rPr>
        <w:t>)</w:t>
      </w:r>
      <w:r w:rsidR="5EE26F14" w:rsidRPr="00D1482E">
        <w:rPr>
          <w:rFonts w:ascii="Arial" w:hAnsi="Arial" w:cs="Arial"/>
          <w:sz w:val="22"/>
          <w:szCs w:val="22"/>
        </w:rPr>
        <w:t xml:space="preserve"> </w:t>
      </w:r>
      <w:r w:rsidR="0899DEC9" w:rsidRPr="00D1482E">
        <w:rPr>
          <w:rFonts w:ascii="Arial" w:hAnsi="Arial" w:cs="Arial"/>
          <w:sz w:val="22"/>
          <w:szCs w:val="22"/>
        </w:rPr>
        <w:t xml:space="preserve">para el componente 1 y 2 </w:t>
      </w:r>
      <w:r w:rsidR="5EE26F14" w:rsidRPr="00D1482E">
        <w:rPr>
          <w:rFonts w:ascii="Arial" w:hAnsi="Arial" w:cs="Arial"/>
          <w:sz w:val="22"/>
          <w:szCs w:val="22"/>
        </w:rPr>
        <w:t>con la intención de reflejar que el 100% de los beneficios potenciales se observarán después del periodo de desembolso. Para realizar este análisis se considera que</w:t>
      </w:r>
      <w:r w:rsidR="6F643F72" w:rsidRPr="00D1482E">
        <w:rPr>
          <w:rFonts w:ascii="Arial" w:hAnsi="Arial" w:cs="Arial"/>
          <w:sz w:val="22"/>
          <w:szCs w:val="22"/>
        </w:rPr>
        <w:t>,</w:t>
      </w:r>
      <w:r w:rsidR="5EE26F14" w:rsidRPr="00D1482E">
        <w:rPr>
          <w:rFonts w:ascii="Arial" w:hAnsi="Arial" w:cs="Arial"/>
          <w:sz w:val="22"/>
          <w:szCs w:val="22"/>
        </w:rPr>
        <w:t xml:space="preserve"> una vez concluidos los desembolsos del </w:t>
      </w:r>
      <w:r w:rsidR="19A3A32B" w:rsidRPr="00D1482E">
        <w:rPr>
          <w:rFonts w:ascii="Arial" w:eastAsiaTheme="minorEastAsia" w:hAnsi="Arial" w:cs="Arial"/>
          <w:sz w:val="22"/>
          <w:szCs w:val="22"/>
        </w:rPr>
        <w:t>programa</w:t>
      </w:r>
      <w:r w:rsidR="4FEA2CC2" w:rsidRPr="00D1482E">
        <w:rPr>
          <w:rFonts w:ascii="Arial" w:hAnsi="Arial" w:cs="Arial"/>
          <w:sz w:val="22"/>
          <w:szCs w:val="22"/>
        </w:rPr>
        <w:t xml:space="preserve">, </w:t>
      </w:r>
      <w:r w:rsidR="19A3A32B" w:rsidRPr="00D1482E">
        <w:rPr>
          <w:rFonts w:ascii="Arial" w:hAnsi="Arial" w:cs="Arial"/>
          <w:sz w:val="22"/>
          <w:szCs w:val="22"/>
        </w:rPr>
        <w:t xml:space="preserve">el </w:t>
      </w:r>
      <w:r w:rsidR="18743E1E" w:rsidRPr="00D1482E">
        <w:rPr>
          <w:rFonts w:ascii="Arial" w:hAnsi="Arial" w:cs="Arial"/>
          <w:sz w:val="22"/>
          <w:szCs w:val="22"/>
        </w:rPr>
        <w:t>ESE</w:t>
      </w:r>
      <w:r w:rsidR="00DAF8E0" w:rsidRPr="00D1482E">
        <w:rPr>
          <w:rFonts w:ascii="Arial" w:hAnsi="Arial" w:cs="Arial"/>
          <w:sz w:val="22"/>
          <w:szCs w:val="22"/>
        </w:rPr>
        <w:t xml:space="preserve"> </w:t>
      </w:r>
      <w:r w:rsidR="5EE26F14" w:rsidRPr="00D1482E">
        <w:rPr>
          <w:rFonts w:ascii="Arial" w:hAnsi="Arial" w:cs="Arial"/>
          <w:sz w:val="22"/>
          <w:szCs w:val="22"/>
        </w:rPr>
        <w:t>deberá asumir los costos de mantenimien</w:t>
      </w:r>
      <w:r w:rsidR="3DFE0749" w:rsidRPr="00D1482E">
        <w:rPr>
          <w:rFonts w:ascii="Arial" w:hAnsi="Arial" w:cs="Arial"/>
          <w:sz w:val="22"/>
          <w:szCs w:val="22"/>
        </w:rPr>
        <w:t xml:space="preserve">to, recursos humanos e insumos </w:t>
      </w:r>
      <w:r w:rsidR="19A3A32B" w:rsidRPr="00D1482E">
        <w:rPr>
          <w:rFonts w:ascii="Arial" w:hAnsi="Arial" w:cs="Arial"/>
          <w:sz w:val="22"/>
          <w:szCs w:val="22"/>
        </w:rPr>
        <w:t>del programa</w:t>
      </w:r>
      <w:r w:rsidR="5EE26F14" w:rsidRPr="00D1482E">
        <w:rPr>
          <w:rFonts w:ascii="Arial" w:hAnsi="Arial" w:cs="Arial"/>
          <w:sz w:val="22"/>
          <w:szCs w:val="22"/>
        </w:rPr>
        <w:t xml:space="preserve">. </w:t>
      </w:r>
      <w:r w:rsidR="5A611581" w:rsidRPr="00D1482E">
        <w:rPr>
          <w:rFonts w:ascii="Arial" w:hAnsi="Arial" w:cs="Arial"/>
          <w:sz w:val="22"/>
          <w:szCs w:val="22"/>
        </w:rPr>
        <w:t>Aun</w:t>
      </w:r>
      <w:r w:rsidR="5EE26F14" w:rsidRPr="00D1482E">
        <w:rPr>
          <w:rFonts w:ascii="Arial" w:hAnsi="Arial" w:cs="Arial"/>
          <w:sz w:val="22"/>
          <w:szCs w:val="22"/>
        </w:rPr>
        <w:t xml:space="preserve"> considerando este sobrecosto, los beneficios del </w:t>
      </w:r>
      <w:r w:rsidR="19A3A32B" w:rsidRPr="00D1482E">
        <w:rPr>
          <w:rFonts w:ascii="Arial" w:eastAsiaTheme="minorEastAsia" w:hAnsi="Arial" w:cs="Arial"/>
          <w:sz w:val="22"/>
          <w:szCs w:val="22"/>
        </w:rPr>
        <w:t>programa</w:t>
      </w:r>
      <w:r w:rsidR="00DAF8E0" w:rsidRPr="00D1482E">
        <w:rPr>
          <w:rFonts w:ascii="Arial" w:hAnsi="Arial" w:cs="Arial"/>
          <w:sz w:val="22"/>
          <w:szCs w:val="22"/>
        </w:rPr>
        <w:t xml:space="preserve"> </w:t>
      </w:r>
      <w:r w:rsidR="5EE26F14" w:rsidRPr="00D1482E">
        <w:rPr>
          <w:rFonts w:ascii="Arial" w:hAnsi="Arial" w:cs="Arial"/>
          <w:sz w:val="22"/>
          <w:szCs w:val="22"/>
        </w:rPr>
        <w:t xml:space="preserve">superan los costos y la razón entre los beneficios y los costos en el mismo escenario conservador es de </w:t>
      </w:r>
      <w:r w:rsidR="00565381" w:rsidRPr="00D1482E">
        <w:rPr>
          <w:rFonts w:ascii="Arial" w:hAnsi="Arial" w:cs="Arial"/>
          <w:sz w:val="22"/>
          <w:szCs w:val="22"/>
        </w:rPr>
        <w:t>5.6</w:t>
      </w:r>
      <w:r w:rsidR="1AC2DA98" w:rsidRPr="00D1482E">
        <w:rPr>
          <w:rFonts w:ascii="Arial" w:hAnsi="Arial" w:cs="Arial"/>
          <w:sz w:val="22"/>
          <w:szCs w:val="22"/>
        </w:rPr>
        <w:t>.</w:t>
      </w:r>
      <w:r w:rsidR="52EC87BA" w:rsidRPr="00D1482E">
        <w:rPr>
          <w:rFonts w:ascii="Arial" w:hAnsi="Arial" w:cs="Arial"/>
          <w:sz w:val="22"/>
          <w:szCs w:val="22"/>
        </w:rPr>
        <w:t xml:space="preserve"> Para el componente 3</w:t>
      </w:r>
      <w:r w:rsidR="3DFE0749" w:rsidRPr="00D1482E">
        <w:rPr>
          <w:rFonts w:ascii="Arial" w:hAnsi="Arial" w:cs="Arial"/>
          <w:sz w:val="22"/>
          <w:szCs w:val="22"/>
        </w:rPr>
        <w:t xml:space="preserve"> </w:t>
      </w:r>
      <w:r w:rsidR="52EC87BA" w:rsidRPr="00D1482E">
        <w:rPr>
          <w:rFonts w:ascii="Arial" w:hAnsi="Arial" w:cs="Arial"/>
          <w:sz w:val="22"/>
          <w:szCs w:val="22"/>
        </w:rPr>
        <w:t>con</w:t>
      </w:r>
      <w:r w:rsidR="52EC87BA">
        <w:rPr>
          <w:rFonts w:ascii="Arial" w:hAnsi="Arial" w:cs="Arial"/>
          <w:sz w:val="22"/>
          <w:szCs w:val="22"/>
        </w:rPr>
        <w:t xml:space="preserve"> el mismo escenario conservador es de </w:t>
      </w:r>
      <w:r w:rsidR="00041B56">
        <w:rPr>
          <w:rFonts w:ascii="Arial" w:hAnsi="Arial" w:cs="Arial"/>
          <w:sz w:val="22"/>
          <w:szCs w:val="22"/>
        </w:rPr>
        <w:t>4.0</w:t>
      </w:r>
      <w:r w:rsidR="52EC87BA">
        <w:rPr>
          <w:rFonts w:ascii="Arial" w:hAnsi="Arial" w:cs="Arial"/>
          <w:sz w:val="22"/>
          <w:szCs w:val="22"/>
        </w:rPr>
        <w:t>.</w:t>
      </w:r>
      <w:r w:rsidR="00DAF8E0" w:rsidRPr="00210A53">
        <w:rPr>
          <w:rFonts w:ascii="Arial" w:hAnsi="Arial" w:cs="Arial"/>
          <w:sz w:val="22"/>
          <w:szCs w:val="22"/>
        </w:rPr>
        <w:t xml:space="preserve"> </w:t>
      </w:r>
    </w:p>
    <w:p w14:paraId="4BD33BD9" w14:textId="19E68E24" w:rsidR="008C6DF2" w:rsidRPr="00210A53" w:rsidRDefault="00BB436F" w:rsidP="00216A0C">
      <w:pPr>
        <w:spacing w:before="120"/>
        <w:jc w:val="both"/>
        <w:rPr>
          <w:rFonts w:ascii="Arial" w:hAnsi="Arial" w:cs="Arial"/>
          <w:sz w:val="22"/>
          <w:szCs w:val="22"/>
        </w:rPr>
      </w:pPr>
      <w:r w:rsidRPr="00210A53">
        <w:rPr>
          <w:rFonts w:ascii="Arial" w:hAnsi="Arial" w:cs="Arial"/>
          <w:sz w:val="22"/>
          <w:szCs w:val="22"/>
        </w:rPr>
        <w:t xml:space="preserve">El documento </w:t>
      </w:r>
      <w:r w:rsidR="00C676BF" w:rsidRPr="00210A53">
        <w:rPr>
          <w:rFonts w:ascii="Arial" w:hAnsi="Arial" w:cs="Arial"/>
          <w:sz w:val="22"/>
          <w:szCs w:val="22"/>
        </w:rPr>
        <w:t>está</w:t>
      </w:r>
      <w:r w:rsidRPr="00210A53">
        <w:rPr>
          <w:rFonts w:ascii="Arial" w:hAnsi="Arial" w:cs="Arial"/>
          <w:sz w:val="22"/>
          <w:szCs w:val="22"/>
        </w:rPr>
        <w:t xml:space="preserve"> organiza</w:t>
      </w:r>
      <w:r w:rsidR="00C676BF" w:rsidRPr="00210A53">
        <w:rPr>
          <w:rFonts w:ascii="Arial" w:hAnsi="Arial" w:cs="Arial"/>
          <w:sz w:val="22"/>
          <w:szCs w:val="22"/>
        </w:rPr>
        <w:t>do</w:t>
      </w:r>
      <w:r w:rsidRPr="00210A53">
        <w:rPr>
          <w:rFonts w:ascii="Arial" w:hAnsi="Arial" w:cs="Arial"/>
          <w:sz w:val="22"/>
          <w:szCs w:val="22"/>
        </w:rPr>
        <w:t xml:space="preserve"> en </w:t>
      </w:r>
      <w:r w:rsidR="004C5824" w:rsidRPr="00210A53">
        <w:rPr>
          <w:rFonts w:ascii="Arial" w:hAnsi="Arial" w:cs="Arial"/>
          <w:sz w:val="22"/>
          <w:szCs w:val="22"/>
        </w:rPr>
        <w:t>dos</w:t>
      </w:r>
      <w:r w:rsidR="00FC2B5D" w:rsidRPr="00210A53">
        <w:rPr>
          <w:rFonts w:ascii="Arial" w:hAnsi="Arial" w:cs="Arial"/>
          <w:sz w:val="22"/>
          <w:szCs w:val="22"/>
        </w:rPr>
        <w:t xml:space="preserve"> </w:t>
      </w:r>
      <w:r w:rsidRPr="00210A53">
        <w:rPr>
          <w:rFonts w:ascii="Arial" w:hAnsi="Arial" w:cs="Arial"/>
          <w:sz w:val="22"/>
          <w:szCs w:val="22"/>
        </w:rPr>
        <w:t>secciones. La primera</w:t>
      </w:r>
      <w:r w:rsidR="00DA23EC" w:rsidRPr="00210A53">
        <w:rPr>
          <w:rFonts w:ascii="Arial" w:hAnsi="Arial" w:cs="Arial"/>
          <w:sz w:val="22"/>
          <w:szCs w:val="22"/>
        </w:rPr>
        <w:t xml:space="preserve"> presenta una descripción del </w:t>
      </w:r>
      <w:r w:rsidR="00C2090F" w:rsidRPr="00210A53">
        <w:rPr>
          <w:rFonts w:ascii="Arial" w:hAnsi="Arial" w:cs="Arial"/>
          <w:sz w:val="22"/>
          <w:szCs w:val="22"/>
        </w:rPr>
        <w:t>programa</w:t>
      </w:r>
      <w:r w:rsidRPr="00210A53">
        <w:rPr>
          <w:rFonts w:ascii="Arial" w:hAnsi="Arial" w:cs="Arial"/>
          <w:sz w:val="22"/>
          <w:szCs w:val="22"/>
        </w:rPr>
        <w:t xml:space="preserve"> </w:t>
      </w:r>
      <w:r w:rsidR="00C676BF" w:rsidRPr="00210A53">
        <w:rPr>
          <w:rFonts w:ascii="Arial" w:hAnsi="Arial" w:cs="Arial"/>
          <w:sz w:val="22"/>
          <w:szCs w:val="22"/>
        </w:rPr>
        <w:t>mientras que</w:t>
      </w:r>
      <w:r w:rsidR="00311359" w:rsidRPr="00210A53">
        <w:rPr>
          <w:rFonts w:ascii="Arial" w:hAnsi="Arial" w:cs="Arial"/>
          <w:sz w:val="22"/>
          <w:szCs w:val="22"/>
        </w:rPr>
        <w:t xml:space="preserve"> l</w:t>
      </w:r>
      <w:r w:rsidRPr="00210A53">
        <w:rPr>
          <w:rFonts w:ascii="Arial" w:hAnsi="Arial" w:cs="Arial"/>
          <w:sz w:val="22"/>
          <w:szCs w:val="22"/>
        </w:rPr>
        <w:t xml:space="preserve">a segunda desarrolla </w:t>
      </w:r>
      <w:r w:rsidR="00013136" w:rsidRPr="00210A53">
        <w:rPr>
          <w:rFonts w:ascii="Arial" w:hAnsi="Arial" w:cs="Arial"/>
          <w:sz w:val="22"/>
          <w:szCs w:val="22"/>
        </w:rPr>
        <w:t>los resultados d</w:t>
      </w:r>
      <w:r w:rsidRPr="00210A53">
        <w:rPr>
          <w:rFonts w:ascii="Arial" w:hAnsi="Arial" w:cs="Arial"/>
          <w:sz w:val="22"/>
          <w:szCs w:val="22"/>
        </w:rPr>
        <w:t xml:space="preserve">el análisis </w:t>
      </w:r>
      <w:r w:rsidR="00C2090F" w:rsidRPr="00210A53">
        <w:rPr>
          <w:rFonts w:ascii="Arial" w:hAnsi="Arial" w:cs="Arial"/>
          <w:sz w:val="22"/>
          <w:szCs w:val="22"/>
        </w:rPr>
        <w:t>económico del programa</w:t>
      </w:r>
      <w:r w:rsidRPr="00210A53">
        <w:rPr>
          <w:rFonts w:ascii="Arial" w:hAnsi="Arial" w:cs="Arial"/>
          <w:sz w:val="22"/>
          <w:szCs w:val="22"/>
        </w:rPr>
        <w:t>.</w:t>
      </w:r>
      <w:r w:rsidR="00361A79" w:rsidRPr="00210A53">
        <w:rPr>
          <w:rFonts w:ascii="Arial" w:hAnsi="Arial" w:cs="Arial"/>
          <w:sz w:val="22"/>
          <w:szCs w:val="22"/>
        </w:rPr>
        <w:t xml:space="preserve"> </w:t>
      </w:r>
    </w:p>
    <w:p w14:paraId="7BADEA9A" w14:textId="5AD99CE5" w:rsidR="00DA23EC" w:rsidRPr="00210A53" w:rsidRDefault="008C6DF2" w:rsidP="00CC78EA">
      <w:pPr>
        <w:rPr>
          <w:rFonts w:ascii="Arial" w:hAnsi="Arial" w:cs="Arial"/>
          <w:sz w:val="22"/>
          <w:szCs w:val="22"/>
        </w:rPr>
      </w:pPr>
      <w:r w:rsidRPr="00210A53">
        <w:rPr>
          <w:rFonts w:ascii="Arial" w:hAnsi="Arial" w:cs="Arial"/>
          <w:sz w:val="22"/>
          <w:szCs w:val="22"/>
        </w:rPr>
        <w:br w:type="page"/>
      </w:r>
    </w:p>
    <w:p w14:paraId="396AF539" w14:textId="77777777" w:rsidR="002356B7" w:rsidRPr="00210A53" w:rsidRDefault="00BB436F" w:rsidP="00216A0C">
      <w:pPr>
        <w:pStyle w:val="Heading1"/>
        <w:rPr>
          <w:szCs w:val="22"/>
          <w:lang w:val="es-419"/>
        </w:rPr>
      </w:pPr>
      <w:bookmarkStart w:id="7" w:name="_Toc296257182"/>
      <w:bookmarkStart w:id="8" w:name="_Toc513465008"/>
      <w:bookmarkStart w:id="9" w:name="_Toc100512096"/>
      <w:r w:rsidRPr="00210A53">
        <w:rPr>
          <w:rFonts w:eastAsia="Calibri"/>
          <w:szCs w:val="22"/>
          <w:lang w:val="es-419"/>
        </w:rPr>
        <w:lastRenderedPageBreak/>
        <w:t>I.</w:t>
      </w:r>
      <w:r w:rsidR="008242ED" w:rsidRPr="00210A53">
        <w:rPr>
          <w:rFonts w:eastAsia="Calibri"/>
          <w:szCs w:val="22"/>
          <w:lang w:val="es-419"/>
        </w:rPr>
        <w:t xml:space="preserve"> </w:t>
      </w:r>
      <w:r w:rsidR="002356B7" w:rsidRPr="00210A53">
        <w:rPr>
          <w:rFonts w:eastAsia="Calibri"/>
          <w:szCs w:val="22"/>
          <w:lang w:val="es-419"/>
        </w:rPr>
        <w:t>Introducción</w:t>
      </w:r>
      <w:r w:rsidR="002356B7" w:rsidRPr="00210A53">
        <w:rPr>
          <w:szCs w:val="22"/>
          <w:vertAlign w:val="superscript"/>
          <w:lang w:val="es-419"/>
        </w:rPr>
        <w:footnoteReference w:id="2"/>
      </w:r>
      <w:bookmarkEnd w:id="7"/>
      <w:bookmarkEnd w:id="8"/>
      <w:bookmarkEnd w:id="9"/>
      <w:r w:rsidR="00AF07E7" w:rsidRPr="00210A53">
        <w:rPr>
          <w:szCs w:val="22"/>
          <w:lang w:val="es-419"/>
        </w:rPr>
        <w:t xml:space="preserve"> </w:t>
      </w:r>
    </w:p>
    <w:p w14:paraId="2DD4C115" w14:textId="6D0B66D6" w:rsidR="002D2445" w:rsidRPr="00210A53" w:rsidRDefault="002D2445" w:rsidP="00993C0D">
      <w:pPr>
        <w:pStyle w:val="Heading2"/>
        <w:rPr>
          <w:rFonts w:cs="Arial"/>
        </w:rPr>
      </w:pPr>
      <w:bookmarkStart w:id="10" w:name="_Toc100512097"/>
      <w:bookmarkStart w:id="11" w:name="_Toc422751911"/>
      <w:bookmarkStart w:id="12" w:name="_Ref285380113"/>
      <w:r w:rsidRPr="00210A53">
        <w:rPr>
          <w:rFonts w:cs="Arial"/>
        </w:rPr>
        <w:t>A.</w:t>
      </w:r>
      <w:r w:rsidRPr="00210A53">
        <w:rPr>
          <w:rFonts w:cs="Arial"/>
        </w:rPr>
        <w:tab/>
        <w:t xml:space="preserve">Antecedentes: el reto en materia de salud en el </w:t>
      </w:r>
      <w:r w:rsidR="002333A5" w:rsidRPr="00210A53">
        <w:rPr>
          <w:rFonts w:cs="Arial"/>
        </w:rPr>
        <w:t>E</w:t>
      </w:r>
      <w:r w:rsidRPr="00210A53">
        <w:rPr>
          <w:rFonts w:cs="Arial"/>
        </w:rPr>
        <w:t xml:space="preserve">stado de </w:t>
      </w:r>
      <w:r w:rsidR="00AC4AAA">
        <w:rPr>
          <w:rFonts w:cs="Arial"/>
        </w:rPr>
        <w:t>Sergipe</w:t>
      </w:r>
      <w:bookmarkEnd w:id="10"/>
      <w:r w:rsidRPr="00210A53">
        <w:rPr>
          <w:rFonts w:cs="Arial"/>
        </w:rPr>
        <w:t xml:space="preserve"> </w:t>
      </w:r>
    </w:p>
    <w:p w14:paraId="49FA1698" w14:textId="40A16A29" w:rsidR="001B5DDD" w:rsidRDefault="001B5DDD" w:rsidP="001B5DDD">
      <w:pPr>
        <w:tabs>
          <w:tab w:val="num" w:pos="2448"/>
        </w:tabs>
        <w:jc w:val="both"/>
        <w:rPr>
          <w:rFonts w:ascii="Arial" w:hAnsi="Arial" w:cs="Arial"/>
          <w:sz w:val="22"/>
          <w:szCs w:val="22"/>
          <w:lang w:val="es-ES_tradnl"/>
        </w:rPr>
      </w:pPr>
      <w:r w:rsidRPr="001B5DDD">
        <w:rPr>
          <w:rFonts w:ascii="Arial" w:hAnsi="Arial" w:cs="Arial"/>
          <w:sz w:val="22"/>
          <w:szCs w:val="22"/>
          <w:lang w:val="es-ES_tradnl"/>
        </w:rPr>
        <w:t xml:space="preserve">El Estado de Sergipe (ESE) tiene una población de 2,3 millones de habitantes y 30% se concentra en su capital, Aracaju. Está ubicado en el noreste del país y su Producto Interno Bruto (PIB) ocupa la cuarta posición en la región y ha incrementado cerca de 4% al año entre 2019 y 2021 </w:t>
      </w:r>
      <w:hyperlink r:id="rId18" w:history="1">
        <w:r w:rsidRPr="001B5DDD">
          <w:rPr>
            <w:rStyle w:val="Hyperlink"/>
            <w:rFonts w:ascii="Arial" w:hAnsi="Arial" w:cs="Arial"/>
            <w:sz w:val="22"/>
            <w:szCs w:val="22"/>
            <w:lang w:val="es-ES_tradnl"/>
          </w:rPr>
          <w:t>[1]</w:t>
        </w:r>
      </w:hyperlink>
      <w:r w:rsidRPr="001B5DDD">
        <w:rPr>
          <w:rFonts w:ascii="Arial" w:hAnsi="Arial" w:cs="Arial"/>
          <w:sz w:val="22"/>
          <w:szCs w:val="22"/>
          <w:lang w:val="es-ES_tradnl"/>
        </w:rPr>
        <w:t xml:space="preserve">. La capacidad de pago (CAPAG) presenta la clasificación “B” </w:t>
      </w:r>
      <w:hyperlink r:id="rId19" w:history="1">
        <w:r w:rsidRPr="001B5DDD">
          <w:rPr>
            <w:rStyle w:val="Hyperlink"/>
            <w:rFonts w:ascii="Arial" w:hAnsi="Arial" w:cs="Arial"/>
            <w:sz w:val="22"/>
            <w:szCs w:val="22"/>
            <w:lang w:val="es-ES_tradnl"/>
          </w:rPr>
          <w:t>[2]</w:t>
        </w:r>
      </w:hyperlink>
      <w:r w:rsidRPr="001B5DDD">
        <w:rPr>
          <w:rFonts w:ascii="Arial" w:hAnsi="Arial" w:cs="Arial"/>
          <w:sz w:val="22"/>
          <w:szCs w:val="22"/>
          <w:lang w:val="es-ES_tradnl"/>
        </w:rPr>
        <w:t xml:space="preserve"> cumpliendo los criterios fiscales para ser elegible para financiamientos externos. El Índice de Desarrollo Económico Municipal (IDHM) </w:t>
      </w:r>
      <w:hyperlink r:id="rId20" w:history="1">
        <w:r w:rsidRPr="001B5DDD">
          <w:rPr>
            <w:rStyle w:val="Hyperlink"/>
            <w:rFonts w:ascii="Arial" w:hAnsi="Arial" w:cs="Arial"/>
            <w:sz w:val="22"/>
            <w:szCs w:val="22"/>
            <w:lang w:val="es-ES_tradnl"/>
          </w:rPr>
          <w:t>[3]</w:t>
        </w:r>
      </w:hyperlink>
      <w:r w:rsidRPr="001B5DDD">
        <w:rPr>
          <w:rFonts w:ascii="Arial" w:hAnsi="Arial" w:cs="Arial"/>
          <w:sz w:val="22"/>
          <w:szCs w:val="22"/>
          <w:lang w:val="es-ES_tradnl"/>
        </w:rPr>
        <w:t xml:space="preserve"> incrementó en las últimas décadas (0,58 en 2000 a 0,665 en 2010), sin embargo, aún se puedan mejorar sus indicadores sociales y las disparidades en su territorio. De sus 75 municipios, 42 presentan IDHM bajo, 30 mediano y la Capital posee IDHM alto </w:t>
      </w:r>
      <w:hyperlink r:id="rId21" w:history="1">
        <w:r w:rsidRPr="001B5DDD">
          <w:rPr>
            <w:rStyle w:val="Hyperlink"/>
            <w:rFonts w:ascii="Arial" w:hAnsi="Arial" w:cs="Arial"/>
            <w:sz w:val="22"/>
            <w:szCs w:val="22"/>
            <w:lang w:val="es-ES_tradnl"/>
          </w:rPr>
          <w:t>[4]</w:t>
        </w:r>
      </w:hyperlink>
      <w:r w:rsidRPr="001B5DDD">
        <w:rPr>
          <w:rFonts w:ascii="Arial" w:hAnsi="Arial" w:cs="Arial"/>
          <w:sz w:val="22"/>
          <w:szCs w:val="22"/>
          <w:lang w:val="es-ES_tradnl"/>
        </w:rPr>
        <w:t>.</w:t>
      </w:r>
    </w:p>
    <w:p w14:paraId="21605650" w14:textId="07DBFF40" w:rsidR="001B5DDD" w:rsidRDefault="001B5DDD" w:rsidP="001B5DDD">
      <w:pPr>
        <w:tabs>
          <w:tab w:val="num" w:pos="2448"/>
        </w:tabs>
        <w:jc w:val="both"/>
        <w:rPr>
          <w:rFonts w:ascii="Arial" w:hAnsi="Arial" w:cs="Arial"/>
          <w:sz w:val="22"/>
          <w:szCs w:val="22"/>
          <w:lang w:val="es-ES_tradnl"/>
        </w:rPr>
      </w:pPr>
    </w:p>
    <w:p w14:paraId="1DDBF8F8" w14:textId="64EFADAA" w:rsidR="001B5DDD" w:rsidRDefault="001B5DDD" w:rsidP="001B5DDD">
      <w:pPr>
        <w:tabs>
          <w:tab w:val="num" w:pos="2448"/>
        </w:tabs>
        <w:jc w:val="both"/>
        <w:rPr>
          <w:rFonts w:ascii="Arial" w:hAnsi="Arial" w:cs="Arial"/>
          <w:sz w:val="22"/>
          <w:szCs w:val="22"/>
          <w:lang w:val="es-ES_tradnl"/>
        </w:rPr>
      </w:pPr>
      <w:r w:rsidRPr="001B5DDD">
        <w:rPr>
          <w:rFonts w:ascii="Arial" w:hAnsi="Arial" w:cs="Arial"/>
          <w:sz w:val="22"/>
          <w:szCs w:val="22"/>
          <w:lang w:val="es-ES_tradnl"/>
        </w:rPr>
        <w:t xml:space="preserve">La población de Sergipe está envejeciendo rápidamente y aún enfrenta retos en salud materno-infantil. La proporción de la población de adultos mayores incrementó de 7,6% en 2008 a 12,4% en 2018 y la esperanza de vida pasó de 71,9 años en 2010 a 73,2 años en 2019 </w:t>
      </w:r>
      <w:hyperlink r:id="rId22">
        <w:r w:rsidRPr="001B5DDD">
          <w:rPr>
            <w:rStyle w:val="Hyperlink"/>
            <w:rFonts w:ascii="Arial" w:hAnsi="Arial" w:cs="Arial"/>
            <w:sz w:val="22"/>
            <w:szCs w:val="22"/>
            <w:lang w:val="es-ES_tradnl"/>
          </w:rPr>
          <w:t>[5]</w:t>
        </w:r>
      </w:hyperlink>
      <w:r w:rsidRPr="001B5DDD">
        <w:rPr>
          <w:rFonts w:ascii="Arial" w:hAnsi="Arial" w:cs="Arial"/>
          <w:sz w:val="22"/>
          <w:szCs w:val="22"/>
          <w:lang w:val="es-ES_tradnl"/>
        </w:rPr>
        <w:t xml:space="preserve">, lo cual se traduce en    aumento en la carga de morbilidad y mortalidad asociadas con las Enfermedades Crónicas No Transmisibles (ECNT). En 2018, 70% de las muertes fueron por ECNT siendo las más prevalentes las enfermedades del aparato circulatorio (25%) y las neoplasias (13%). La mortalidad infantil, contrario al promedio nacional </w:t>
      </w:r>
      <w:hyperlink r:id="rId23">
        <w:r w:rsidRPr="001B5DDD">
          <w:rPr>
            <w:rStyle w:val="Hyperlink"/>
            <w:rFonts w:ascii="Arial" w:hAnsi="Arial" w:cs="Arial"/>
            <w:sz w:val="22"/>
            <w:szCs w:val="22"/>
            <w:lang w:val="es-ES_tradnl"/>
          </w:rPr>
          <w:t>[6]</w:t>
        </w:r>
      </w:hyperlink>
      <w:r w:rsidRPr="001B5DDD">
        <w:rPr>
          <w:rFonts w:ascii="Arial" w:hAnsi="Arial" w:cs="Arial"/>
          <w:sz w:val="22"/>
          <w:szCs w:val="22"/>
          <w:lang w:val="es-ES_tradnl"/>
        </w:rPr>
        <w:t xml:space="preserve">, aumentó ligeramente en los últimos años (de 15,7 por 1.000 Nacidos Vivos (NV) en 2014 a 16,79 por 1.000 NV en 2018 </w:t>
      </w:r>
      <w:hyperlink r:id="rId24">
        <w:r w:rsidRPr="001B5DDD">
          <w:rPr>
            <w:rStyle w:val="Hyperlink"/>
            <w:rFonts w:ascii="Arial" w:hAnsi="Arial" w:cs="Arial"/>
            <w:sz w:val="22"/>
            <w:szCs w:val="22"/>
            <w:lang w:val="es-ES_tradnl"/>
          </w:rPr>
          <w:t>[7]</w:t>
        </w:r>
      </w:hyperlink>
      <w:r w:rsidRPr="001B5DDD">
        <w:rPr>
          <w:rFonts w:ascii="Arial" w:hAnsi="Arial" w:cs="Arial"/>
          <w:sz w:val="22"/>
          <w:szCs w:val="22"/>
          <w:u w:val="single"/>
          <w:lang w:val="es-ES_tradnl"/>
        </w:rPr>
        <w:t>)</w:t>
      </w:r>
      <w:r w:rsidRPr="001B5DDD">
        <w:rPr>
          <w:rFonts w:ascii="Arial" w:hAnsi="Arial" w:cs="Arial"/>
          <w:sz w:val="22"/>
          <w:szCs w:val="22"/>
          <w:lang w:val="es-ES_tradnl"/>
        </w:rPr>
        <w:t xml:space="preserve">. En cuanto a la mortalidad materna, en 2018 fue de 58,4 versus el </w:t>
      </w:r>
      <w:r w:rsidRPr="001B5DDD" w:rsidDel="00EA705D">
        <w:rPr>
          <w:rFonts w:ascii="Arial" w:hAnsi="Arial" w:cs="Arial"/>
          <w:sz w:val="22"/>
          <w:szCs w:val="22"/>
          <w:lang w:val="es-ES_tradnl"/>
        </w:rPr>
        <w:t>promedio nacional de 56,3</w:t>
      </w:r>
      <w:r w:rsidRPr="001B5DDD">
        <w:rPr>
          <w:rFonts w:ascii="Arial" w:hAnsi="Arial" w:cs="Arial"/>
          <w:sz w:val="22"/>
          <w:szCs w:val="22"/>
          <w:lang w:val="es-ES_tradnl"/>
        </w:rPr>
        <w:t xml:space="preserve"> por</w:t>
      </w:r>
      <w:r w:rsidRPr="001B5DDD" w:rsidDel="00EA705D">
        <w:rPr>
          <w:rFonts w:ascii="Arial" w:hAnsi="Arial" w:cs="Arial"/>
          <w:sz w:val="22"/>
          <w:szCs w:val="22"/>
          <w:lang w:val="es-ES_tradnl"/>
        </w:rPr>
        <w:t xml:space="preserve"> 100.000 </w:t>
      </w:r>
      <w:r w:rsidRPr="001B5DDD">
        <w:rPr>
          <w:rFonts w:ascii="Arial" w:hAnsi="Arial" w:cs="Arial"/>
          <w:sz w:val="22"/>
          <w:szCs w:val="22"/>
          <w:lang w:val="es-ES_tradnl"/>
        </w:rPr>
        <w:t>NV.</w:t>
      </w:r>
    </w:p>
    <w:p w14:paraId="516D595D" w14:textId="77777777" w:rsidR="002E2D25" w:rsidRPr="00210A53" w:rsidRDefault="002E2D25" w:rsidP="00464FA3">
      <w:pPr>
        <w:rPr>
          <w:rFonts w:ascii="Arial" w:hAnsi="Arial" w:cs="Arial"/>
          <w:sz w:val="22"/>
          <w:szCs w:val="22"/>
        </w:rPr>
      </w:pPr>
    </w:p>
    <w:p w14:paraId="7A2D7CA7" w14:textId="4FCB12CB" w:rsidR="002D2445" w:rsidRPr="00210A53" w:rsidRDefault="00C657B5" w:rsidP="00464FA3">
      <w:pPr>
        <w:rPr>
          <w:rFonts w:ascii="Arial" w:eastAsia="Calibri" w:hAnsi="Arial" w:cs="Arial"/>
          <w:sz w:val="22"/>
          <w:szCs w:val="22"/>
        </w:rPr>
      </w:pPr>
      <w:r w:rsidRPr="00210A53">
        <w:rPr>
          <w:rFonts w:ascii="Arial" w:eastAsia="Calibri" w:hAnsi="Arial" w:cs="Arial"/>
          <w:b/>
          <w:bCs/>
          <w:sz w:val="22"/>
          <w:szCs w:val="22"/>
        </w:rPr>
        <w:t>Avances y desafíos en el Sistema Único de Salud (SUS</w:t>
      </w:r>
      <w:r w:rsidR="00E9299A" w:rsidRPr="00210A53">
        <w:rPr>
          <w:rFonts w:ascii="Arial" w:eastAsia="Calibri" w:hAnsi="Arial" w:cs="Arial"/>
          <w:b/>
          <w:bCs/>
          <w:sz w:val="22"/>
          <w:szCs w:val="22"/>
        </w:rPr>
        <w:t>)</w:t>
      </w:r>
    </w:p>
    <w:p w14:paraId="73F4E8ED" w14:textId="77777777" w:rsidR="002E2D25" w:rsidRPr="00210A53" w:rsidRDefault="002E2D25" w:rsidP="00464FA3">
      <w:pPr>
        <w:rPr>
          <w:rFonts w:ascii="Arial" w:hAnsi="Arial" w:cs="Arial"/>
          <w:sz w:val="22"/>
          <w:szCs w:val="22"/>
        </w:rPr>
      </w:pPr>
    </w:p>
    <w:p w14:paraId="207527FA" w14:textId="7354612F" w:rsidR="00AC7B98" w:rsidRDefault="001B5DDD" w:rsidP="0068440B">
      <w:pPr>
        <w:jc w:val="both"/>
        <w:rPr>
          <w:rFonts w:ascii="Arial" w:eastAsia="Calibri" w:hAnsi="Arial" w:cs="Arial"/>
          <w:sz w:val="22"/>
          <w:szCs w:val="22"/>
          <w:lang w:val="es-ES_tradnl"/>
        </w:rPr>
      </w:pPr>
      <w:r w:rsidRPr="001B5DDD">
        <w:rPr>
          <w:rFonts w:ascii="Arial" w:eastAsia="Calibri" w:hAnsi="Arial" w:cs="Arial"/>
          <w:sz w:val="22"/>
          <w:szCs w:val="22"/>
          <w:lang w:val="es-ES_tradnl"/>
        </w:rPr>
        <w:t>Los servicios públicos de salud en el ESE están organizados en siete regiones con el objetivo de brindar servicios a sus poblaciones.</w:t>
      </w:r>
      <w:r w:rsidRPr="001B5DDD" w:rsidDel="003E0697">
        <w:rPr>
          <w:rFonts w:ascii="Arial" w:eastAsia="Calibri" w:hAnsi="Arial" w:cs="Arial"/>
          <w:sz w:val="22"/>
          <w:szCs w:val="22"/>
          <w:lang w:val="es-ES_tradnl"/>
        </w:rPr>
        <w:t xml:space="preserve"> </w:t>
      </w:r>
      <w:r w:rsidRPr="001B5DDD">
        <w:rPr>
          <w:rFonts w:ascii="Arial" w:eastAsia="Calibri" w:hAnsi="Arial" w:cs="Arial"/>
          <w:sz w:val="22"/>
          <w:szCs w:val="22"/>
          <w:lang w:val="es-ES_tradnl"/>
        </w:rPr>
        <w:t xml:space="preserve">Existen problemas con la calidad de la Atención Primaria a la Salud (APS), brindada por las municipalidades. Si bien cubre al 92,67% de la población, cerca de 30% de las internaciones podrían ser evitadas por servicios de APS de mayor calidad </w:t>
      </w:r>
      <w:hyperlink r:id="rId25" w:history="1">
        <w:r w:rsidRPr="001B5DDD">
          <w:rPr>
            <w:rStyle w:val="Hyperlink"/>
            <w:rFonts w:ascii="Arial" w:eastAsia="Calibri" w:hAnsi="Arial" w:cs="Arial"/>
            <w:sz w:val="22"/>
            <w:szCs w:val="22"/>
            <w:lang w:val="es-ES_tradnl"/>
          </w:rPr>
          <w:t>[8]</w:t>
        </w:r>
      </w:hyperlink>
      <w:r w:rsidRPr="001B5DDD">
        <w:rPr>
          <w:rFonts w:ascii="Arial" w:eastAsia="Calibri" w:hAnsi="Arial" w:cs="Arial"/>
          <w:sz w:val="22"/>
          <w:szCs w:val="22"/>
          <w:lang w:val="es-ES_tradnl"/>
        </w:rPr>
        <w:t xml:space="preserve">. Además, solamente el 61% de los establecimientos de APS poseen registro médico electrónico </w:t>
      </w:r>
      <w:hyperlink r:id="rId26" w:history="1">
        <w:r w:rsidRPr="001B5DDD">
          <w:rPr>
            <w:rStyle w:val="Hyperlink"/>
            <w:rFonts w:ascii="Arial" w:eastAsia="Calibri" w:hAnsi="Arial" w:cs="Arial"/>
            <w:sz w:val="22"/>
            <w:szCs w:val="22"/>
            <w:lang w:val="es-ES_tradnl"/>
          </w:rPr>
          <w:t>[9]</w:t>
        </w:r>
      </w:hyperlink>
      <w:r w:rsidRPr="001B5DDD">
        <w:rPr>
          <w:rFonts w:ascii="Arial" w:eastAsia="Calibri" w:hAnsi="Arial" w:cs="Arial"/>
          <w:sz w:val="22"/>
          <w:szCs w:val="22"/>
          <w:lang w:val="es-ES_tradnl"/>
        </w:rPr>
        <w:t>, lo que genera brechas de información sobre los pacientes, demora en realizar los diagnósticos y duplicación de exámenes y pruebas.</w:t>
      </w:r>
    </w:p>
    <w:p w14:paraId="06BA297F" w14:textId="2ED6953A" w:rsidR="00002BAA" w:rsidRDefault="00002BAA" w:rsidP="0068440B">
      <w:pPr>
        <w:jc w:val="both"/>
        <w:rPr>
          <w:rFonts w:ascii="Arial" w:eastAsia="Calibri" w:hAnsi="Arial" w:cs="Arial"/>
          <w:sz w:val="22"/>
          <w:szCs w:val="22"/>
          <w:lang w:val="es-ES_tradnl"/>
        </w:rPr>
      </w:pPr>
    </w:p>
    <w:p w14:paraId="79278C5D" w14:textId="4BEB65ED" w:rsidR="00002BAA" w:rsidRDefault="00002BAA" w:rsidP="00002BAA">
      <w:pPr>
        <w:tabs>
          <w:tab w:val="num" w:pos="2448"/>
        </w:tabs>
        <w:jc w:val="both"/>
        <w:rPr>
          <w:rFonts w:ascii="Arial" w:eastAsia="Calibri" w:hAnsi="Arial" w:cs="Arial"/>
          <w:sz w:val="22"/>
          <w:szCs w:val="22"/>
          <w:lang w:val="es-ES_tradnl"/>
        </w:rPr>
      </w:pPr>
      <w:bookmarkStart w:id="13" w:name="_Hlk100166460"/>
      <w:r w:rsidRPr="00002BAA">
        <w:rPr>
          <w:rFonts w:ascii="Arial" w:eastAsia="Calibri" w:hAnsi="Arial" w:cs="Arial"/>
          <w:sz w:val="22"/>
          <w:szCs w:val="22"/>
          <w:lang w:val="es-ES_tradnl"/>
        </w:rPr>
        <w:t>Cada región de salud ofrece a su población servicios especializados de media complejidad, brindados por los municipios. Sin embargo, 80% de los servicios de alta complejidad están ubicados y gestionados por la capital, Aracaju y por el ESE. La atención especializada enfrenta los siguientes retos: (i) falta de criterios clínicos claros y procesos de entrada de pacientes y baja integración con la APS; (</w:t>
      </w:r>
      <w:proofErr w:type="spellStart"/>
      <w:r w:rsidRPr="00002BAA">
        <w:rPr>
          <w:rFonts w:ascii="Arial" w:eastAsia="Calibri" w:hAnsi="Arial" w:cs="Arial"/>
          <w:sz w:val="22"/>
          <w:szCs w:val="22"/>
          <w:lang w:val="es-ES_tradnl"/>
        </w:rPr>
        <w:t>ii</w:t>
      </w:r>
      <w:proofErr w:type="spellEnd"/>
      <w:r w:rsidRPr="00002BAA">
        <w:rPr>
          <w:rFonts w:ascii="Arial" w:eastAsia="Calibri" w:hAnsi="Arial" w:cs="Arial"/>
          <w:sz w:val="22"/>
          <w:szCs w:val="22"/>
          <w:lang w:val="es-ES_tradnl"/>
        </w:rPr>
        <w:t xml:space="preserve">) debilidades en la comunicación y confirmación de citas médicas y exámenes (45% de ausentismo) y </w:t>
      </w:r>
      <w:bookmarkStart w:id="14" w:name="_Hlk95129709"/>
      <w:r w:rsidRPr="00002BAA">
        <w:rPr>
          <w:rFonts w:ascii="Arial" w:eastAsia="Calibri" w:hAnsi="Arial" w:cs="Arial"/>
          <w:sz w:val="22"/>
          <w:szCs w:val="22"/>
          <w:lang w:val="es-ES_tradnl"/>
        </w:rPr>
        <w:t>(</w:t>
      </w:r>
      <w:proofErr w:type="spellStart"/>
      <w:r w:rsidRPr="00002BAA">
        <w:rPr>
          <w:rFonts w:ascii="Arial" w:eastAsia="Calibri" w:hAnsi="Arial" w:cs="Arial"/>
          <w:sz w:val="22"/>
          <w:szCs w:val="22"/>
          <w:lang w:val="es-ES_tradnl"/>
        </w:rPr>
        <w:t>iii</w:t>
      </w:r>
      <w:proofErr w:type="spellEnd"/>
      <w:r w:rsidRPr="00002BAA">
        <w:rPr>
          <w:rFonts w:ascii="Arial" w:eastAsia="Calibri" w:hAnsi="Arial" w:cs="Arial"/>
          <w:sz w:val="22"/>
          <w:szCs w:val="22"/>
          <w:lang w:val="es-ES_tradnl"/>
        </w:rPr>
        <w:t>) brechas en la oferta de servicios especializados en determinadas regiones (120 días de espera para ecocardiografía).</w:t>
      </w:r>
      <w:bookmarkEnd w:id="13"/>
      <w:r w:rsidRPr="00002BAA">
        <w:rPr>
          <w:rFonts w:ascii="Arial" w:eastAsia="Calibri" w:hAnsi="Arial" w:cs="Arial"/>
          <w:sz w:val="22"/>
          <w:szCs w:val="22"/>
          <w:lang w:val="es-ES_tradnl"/>
        </w:rPr>
        <w:t xml:space="preserve"> </w:t>
      </w:r>
      <w:bookmarkEnd w:id="14"/>
    </w:p>
    <w:p w14:paraId="20B202F3" w14:textId="1570E5D9" w:rsidR="00002BAA" w:rsidRDefault="00002BAA" w:rsidP="00002BAA">
      <w:pPr>
        <w:tabs>
          <w:tab w:val="num" w:pos="2448"/>
        </w:tabs>
        <w:jc w:val="both"/>
        <w:rPr>
          <w:rFonts w:ascii="Arial" w:eastAsia="Calibri" w:hAnsi="Arial" w:cs="Arial"/>
          <w:sz w:val="22"/>
          <w:szCs w:val="22"/>
          <w:lang w:val="es-ES_tradnl"/>
        </w:rPr>
      </w:pPr>
    </w:p>
    <w:p w14:paraId="53612C8E" w14:textId="21774DC8" w:rsidR="00AC7B98" w:rsidRPr="00210A53" w:rsidRDefault="00002BAA" w:rsidP="00002BAA">
      <w:pPr>
        <w:tabs>
          <w:tab w:val="num" w:pos="2448"/>
        </w:tabs>
        <w:jc w:val="both"/>
        <w:rPr>
          <w:rFonts w:ascii="Arial" w:eastAsia="Calibri" w:hAnsi="Arial" w:cs="Arial"/>
          <w:sz w:val="22"/>
          <w:szCs w:val="22"/>
        </w:rPr>
      </w:pPr>
      <w:r w:rsidRPr="00002BAA">
        <w:rPr>
          <w:rFonts w:ascii="Arial" w:eastAsia="Calibri" w:hAnsi="Arial" w:cs="Arial"/>
          <w:sz w:val="22"/>
          <w:szCs w:val="22"/>
          <w:lang w:val="es-ES_tradnl"/>
        </w:rPr>
        <w:t xml:space="preserve">El ESE cuenta con 11 hospitales municipales, 6 hospitales regionales, 5 hospitales especializados y 9 maternidades. Los retos de la atención hospitalaria en el ESE se deben a la alta complejidad de los casos oncológicos y de la atención materno-infantil. Debido a la carencia de estructura, en 2020, los pacientes </w:t>
      </w:r>
      <w:hyperlink r:id="rId27" w:history="1">
        <w:r w:rsidRPr="00002BAA">
          <w:rPr>
            <w:rStyle w:val="Hyperlink"/>
            <w:rFonts w:ascii="Arial" w:eastAsia="Calibri" w:hAnsi="Arial" w:cs="Arial"/>
            <w:sz w:val="22"/>
            <w:szCs w:val="22"/>
            <w:lang w:val="es-ES_tradnl"/>
          </w:rPr>
          <w:t>[10]</w:t>
        </w:r>
      </w:hyperlink>
      <w:r w:rsidRPr="00002BAA">
        <w:rPr>
          <w:rFonts w:ascii="Arial" w:eastAsia="Calibri" w:hAnsi="Arial" w:cs="Arial"/>
          <w:sz w:val="22"/>
          <w:szCs w:val="22"/>
          <w:lang w:val="es-ES_tradnl"/>
        </w:rPr>
        <w:t xml:space="preserve"> aguardaban cerca de cinco meses para iniciar su tratamiento oncológico (cirugías, radio o quimioterapia). Por otro lado, las maternidades del interior y la de alto riesgo de la Capital, no cuentan con infraestructura suficiente, generando así </w:t>
      </w:r>
      <w:r w:rsidRPr="00002BAA">
        <w:rPr>
          <w:rFonts w:ascii="Arial" w:eastAsia="Calibri" w:hAnsi="Arial" w:cs="Arial"/>
          <w:sz w:val="22"/>
          <w:szCs w:val="22"/>
          <w:lang w:val="es-ES_tradnl"/>
        </w:rPr>
        <w:lastRenderedPageBreak/>
        <w:t xml:space="preserve">sobreocupación </w:t>
      </w:r>
      <w:hyperlink r:id="rId28" w:history="1">
        <w:r w:rsidRPr="00002BAA">
          <w:rPr>
            <w:rStyle w:val="Hyperlink"/>
            <w:rFonts w:ascii="Arial" w:eastAsia="Calibri" w:hAnsi="Arial" w:cs="Arial"/>
            <w:sz w:val="22"/>
            <w:szCs w:val="22"/>
            <w:lang w:val="es-ES_tradnl"/>
          </w:rPr>
          <w:t>[11]</w:t>
        </w:r>
      </w:hyperlink>
      <w:r w:rsidRPr="00002BAA">
        <w:rPr>
          <w:rFonts w:ascii="Arial" w:eastAsia="Calibri" w:hAnsi="Arial" w:cs="Arial"/>
          <w:sz w:val="22"/>
          <w:szCs w:val="22"/>
          <w:lang w:val="es-ES_tradnl"/>
        </w:rPr>
        <w:t xml:space="preserve"> y falta de acceso oportuno a los servicios</w:t>
      </w:r>
      <w:r w:rsidRPr="00002BAA">
        <w:rPr>
          <w:rFonts w:ascii="Arial" w:eastAsia="Calibri" w:hAnsi="Arial" w:cs="Arial"/>
          <w:sz w:val="22"/>
          <w:szCs w:val="22"/>
          <w:vertAlign w:val="superscript"/>
          <w:lang w:val="es-ES_tradnl"/>
        </w:rPr>
        <w:footnoteReference w:id="3"/>
      </w:r>
      <w:r w:rsidRPr="00002BAA">
        <w:rPr>
          <w:rFonts w:ascii="Arial" w:eastAsia="Calibri" w:hAnsi="Arial" w:cs="Arial"/>
          <w:sz w:val="22"/>
          <w:szCs w:val="22"/>
          <w:lang w:val="es-ES_tradnl"/>
        </w:rPr>
        <w:t>. La oferta de atención hospitalaria pediátrica es insuficiente y cerca de 60% de las cirugías pediátricas y tratamientos de alta complejidad son realizados fuera del ESE.</w:t>
      </w:r>
    </w:p>
    <w:p w14:paraId="0D27E2BA" w14:textId="77777777" w:rsidR="00AC5208" w:rsidRPr="00210A53" w:rsidRDefault="00AC5208" w:rsidP="00993C0D">
      <w:pPr>
        <w:pStyle w:val="Heading2"/>
        <w:rPr>
          <w:rFonts w:cs="Arial"/>
        </w:rPr>
      </w:pPr>
      <w:bookmarkStart w:id="15" w:name="_Toc513465010"/>
      <w:bookmarkStart w:id="16" w:name="_Toc100512098"/>
      <w:r w:rsidRPr="00210A53">
        <w:rPr>
          <w:rFonts w:cs="Arial"/>
        </w:rPr>
        <w:t>B.</w:t>
      </w:r>
      <w:r w:rsidRPr="00210A53">
        <w:rPr>
          <w:rFonts w:cs="Arial"/>
        </w:rPr>
        <w:tab/>
        <w:t>Objetivos, Componentes y Costo</w:t>
      </w:r>
      <w:bookmarkEnd w:id="15"/>
      <w:bookmarkEnd w:id="16"/>
    </w:p>
    <w:bookmarkEnd w:id="11"/>
    <w:p w14:paraId="657408E3" w14:textId="7FFE1FD9" w:rsidR="006A564C" w:rsidRPr="00E3572B" w:rsidRDefault="423FB113" w:rsidP="00113389">
      <w:pPr>
        <w:autoSpaceDE w:val="0"/>
        <w:autoSpaceDN w:val="0"/>
        <w:adjustRightInd w:val="0"/>
        <w:jc w:val="both"/>
        <w:rPr>
          <w:rFonts w:ascii="Arial" w:hAnsi="Arial" w:cs="Arial"/>
          <w:sz w:val="22"/>
          <w:szCs w:val="22"/>
        </w:rPr>
      </w:pPr>
      <w:r w:rsidRPr="79C8E53D">
        <w:rPr>
          <w:rFonts w:ascii="Arial" w:hAnsi="Arial" w:cs="Arial"/>
          <w:sz w:val="22"/>
          <w:szCs w:val="22"/>
        </w:rPr>
        <w:t xml:space="preserve">El objetivo principal del programa es </w:t>
      </w:r>
      <w:r w:rsidR="44E664DE" w:rsidRPr="79C8E53D">
        <w:rPr>
          <w:rFonts w:ascii="Arial" w:hAnsi="Arial" w:cs="Arial"/>
          <w:noProof/>
          <w:sz w:val="22"/>
          <w:szCs w:val="22"/>
        </w:rPr>
        <w:t xml:space="preserve">mejorar la salud de la población del ESE, por medio </w:t>
      </w:r>
      <w:bookmarkStart w:id="17" w:name="_Hlk100164431"/>
      <w:r w:rsidR="44E664DE" w:rsidRPr="79C8E53D">
        <w:rPr>
          <w:rFonts w:ascii="Arial" w:hAnsi="Arial" w:cs="Arial"/>
          <w:noProof/>
          <w:sz w:val="22"/>
          <w:szCs w:val="22"/>
        </w:rPr>
        <w:t>del incremento del acceso y calidad de los servicios de salud y de la mejora de la eficiencia en la gestión. Sus objetivos específicos son: (i) ampliar el acceso y la calidad de los servicios de salud del ESE; y (ii) modernizar los procesos de gestión y asistencia</w:t>
      </w:r>
      <w:r w:rsidR="44E664DE" w:rsidRPr="79C8E53D">
        <w:rPr>
          <w:rFonts w:ascii="Arial" w:hAnsi="Arial" w:cs="Arial"/>
          <w:sz w:val="22"/>
          <w:szCs w:val="22"/>
        </w:rPr>
        <w:t>les</w:t>
      </w:r>
      <w:r w:rsidR="027F12FB" w:rsidRPr="79C8E53D">
        <w:rPr>
          <w:rFonts w:ascii="Arial" w:hAnsi="Arial" w:cs="Arial"/>
          <w:sz w:val="22"/>
          <w:szCs w:val="22"/>
        </w:rPr>
        <w:t>, a través de una transformación digital sostenible e inclusiva del sector salud</w:t>
      </w:r>
      <w:r w:rsidR="44E664DE" w:rsidRPr="79C8E53D">
        <w:rPr>
          <w:rFonts w:ascii="Arial" w:hAnsi="Arial" w:cs="Arial"/>
          <w:noProof/>
          <w:sz w:val="22"/>
          <w:szCs w:val="22"/>
        </w:rPr>
        <w:t>.</w:t>
      </w:r>
      <w:bookmarkEnd w:id="17"/>
      <w:r w:rsidR="44E664DE" w:rsidRPr="79C8E53D">
        <w:rPr>
          <w:rFonts w:ascii="Arial" w:hAnsi="Arial" w:cs="Arial"/>
          <w:noProof/>
          <w:sz w:val="22"/>
          <w:szCs w:val="22"/>
        </w:rPr>
        <w:t xml:space="preserve"> </w:t>
      </w:r>
      <w:r w:rsidR="3C36B7C4" w:rsidRPr="79C8E53D">
        <w:rPr>
          <w:rFonts w:ascii="Arial" w:hAnsi="Arial" w:cs="Arial"/>
          <w:sz w:val="22"/>
          <w:szCs w:val="22"/>
        </w:rPr>
        <w:t xml:space="preserve">Los principales beneficiarios del programa serán </w:t>
      </w:r>
      <w:r w:rsidRPr="79C8E53D">
        <w:rPr>
          <w:rFonts w:ascii="Arial" w:hAnsi="Arial" w:cs="Arial"/>
          <w:sz w:val="22"/>
          <w:szCs w:val="22"/>
        </w:rPr>
        <w:t xml:space="preserve">ciudadanos del </w:t>
      </w:r>
      <w:r w:rsidR="44E664DE" w:rsidRPr="79C8E53D">
        <w:rPr>
          <w:rFonts w:ascii="Arial" w:hAnsi="Arial" w:cs="Arial"/>
          <w:sz w:val="22"/>
          <w:szCs w:val="22"/>
        </w:rPr>
        <w:t>ESE</w:t>
      </w:r>
      <w:r w:rsidRPr="79C8E53D">
        <w:rPr>
          <w:rFonts w:ascii="Arial" w:hAnsi="Arial" w:cs="Arial"/>
          <w:sz w:val="22"/>
          <w:szCs w:val="22"/>
        </w:rPr>
        <w:t xml:space="preserve">, </w:t>
      </w:r>
      <w:r w:rsidR="44E664DE" w:rsidRPr="79C8E53D">
        <w:rPr>
          <w:rFonts w:ascii="Arial" w:hAnsi="Arial" w:cs="Arial"/>
          <w:sz w:val="22"/>
          <w:szCs w:val="22"/>
        </w:rPr>
        <w:t>especialmente los</w:t>
      </w:r>
      <w:r w:rsidRPr="79C8E53D">
        <w:rPr>
          <w:rFonts w:ascii="Arial" w:hAnsi="Arial" w:cs="Arial"/>
          <w:sz w:val="22"/>
          <w:szCs w:val="22"/>
        </w:rPr>
        <w:t xml:space="preserve"> usuarios de los servicios públicos de salud, sobre todo la población dependiente del SUS (cerca del 70% al 80% de la población total y 100% de los grupos más vulnerables residentes en </w:t>
      </w:r>
      <w:r w:rsidR="44E664DE" w:rsidRPr="79C8E53D">
        <w:rPr>
          <w:rFonts w:ascii="Arial" w:hAnsi="Arial" w:cs="Arial"/>
          <w:sz w:val="22"/>
          <w:szCs w:val="22"/>
        </w:rPr>
        <w:t>ESE</w:t>
      </w:r>
      <w:r w:rsidRPr="79C8E53D">
        <w:rPr>
          <w:rFonts w:ascii="Arial" w:hAnsi="Arial" w:cs="Arial"/>
          <w:sz w:val="22"/>
          <w:szCs w:val="22"/>
        </w:rPr>
        <w:t>), que verán incrementada su satisfacción y se beneficiarán de la mayor eficiencia y calidad los servicios recibidos</w:t>
      </w:r>
      <w:r w:rsidR="22F54D2A" w:rsidRPr="79C8E53D">
        <w:rPr>
          <w:rFonts w:ascii="Arial" w:hAnsi="Arial" w:cs="Arial"/>
          <w:sz w:val="22"/>
          <w:szCs w:val="22"/>
        </w:rPr>
        <w:t>.</w:t>
      </w:r>
    </w:p>
    <w:p w14:paraId="284FCE0E" w14:textId="77777777" w:rsidR="00113389" w:rsidRPr="00E3572B" w:rsidRDefault="00113389" w:rsidP="00113389">
      <w:pPr>
        <w:autoSpaceDE w:val="0"/>
        <w:autoSpaceDN w:val="0"/>
        <w:adjustRightInd w:val="0"/>
        <w:jc w:val="both"/>
        <w:rPr>
          <w:rFonts w:ascii="Arial" w:hAnsi="Arial" w:cs="Arial"/>
          <w:sz w:val="22"/>
          <w:szCs w:val="22"/>
        </w:rPr>
      </w:pPr>
    </w:p>
    <w:p w14:paraId="108268AF" w14:textId="36AC5DB2" w:rsidR="006B65AD" w:rsidRDefault="3D4BB3D2" w:rsidP="027F12FB">
      <w:pPr>
        <w:autoSpaceDE w:val="0"/>
        <w:autoSpaceDN w:val="0"/>
        <w:adjustRightInd w:val="0"/>
        <w:jc w:val="both"/>
        <w:rPr>
          <w:rFonts w:ascii="Arial" w:hAnsi="Arial" w:cs="Arial"/>
          <w:sz w:val="22"/>
          <w:szCs w:val="22"/>
        </w:rPr>
      </w:pPr>
      <w:r w:rsidRPr="79C8E53D">
        <w:rPr>
          <w:rFonts w:ascii="Arial" w:hAnsi="Arial" w:cs="Arial"/>
          <w:b/>
          <w:bCs/>
          <w:sz w:val="22"/>
          <w:szCs w:val="22"/>
        </w:rPr>
        <w:t>Componente 1. Apoyo a la ampliación del acceso y de la calidad de los servicios (BID US$1</w:t>
      </w:r>
      <w:r w:rsidR="00C76489" w:rsidRPr="79C8E53D">
        <w:rPr>
          <w:rFonts w:ascii="Arial" w:hAnsi="Arial" w:cs="Arial"/>
          <w:b/>
          <w:bCs/>
          <w:sz w:val="22"/>
          <w:szCs w:val="22"/>
        </w:rPr>
        <w:t>8</w:t>
      </w:r>
      <w:r w:rsidRPr="79C8E53D">
        <w:rPr>
          <w:rFonts w:ascii="Arial" w:hAnsi="Arial" w:cs="Arial"/>
          <w:b/>
          <w:bCs/>
          <w:sz w:val="22"/>
          <w:szCs w:val="22"/>
        </w:rPr>
        <w:t>.</w:t>
      </w:r>
      <w:r w:rsidR="00C76489" w:rsidRPr="79C8E53D">
        <w:rPr>
          <w:rFonts w:ascii="Arial" w:hAnsi="Arial" w:cs="Arial"/>
          <w:b/>
          <w:bCs/>
          <w:sz w:val="22"/>
          <w:szCs w:val="22"/>
        </w:rPr>
        <w:t>536</w:t>
      </w:r>
      <w:r w:rsidRPr="79C8E53D">
        <w:rPr>
          <w:rFonts w:ascii="Arial" w:hAnsi="Arial" w:cs="Arial"/>
          <w:b/>
          <w:bCs/>
          <w:sz w:val="22"/>
          <w:szCs w:val="22"/>
        </w:rPr>
        <w:t>.</w:t>
      </w:r>
      <w:r w:rsidR="00C76489" w:rsidRPr="79C8E53D">
        <w:rPr>
          <w:rFonts w:ascii="Arial" w:hAnsi="Arial" w:cs="Arial"/>
          <w:b/>
          <w:bCs/>
          <w:sz w:val="22"/>
          <w:szCs w:val="22"/>
        </w:rPr>
        <w:t>1</w:t>
      </w:r>
      <w:r w:rsidRPr="79C8E53D">
        <w:rPr>
          <w:rFonts w:ascii="Arial" w:hAnsi="Arial" w:cs="Arial"/>
          <w:b/>
          <w:bCs/>
          <w:sz w:val="22"/>
          <w:szCs w:val="22"/>
        </w:rPr>
        <w:t>00; Local US$9.100.000).</w:t>
      </w:r>
      <w:r w:rsidRPr="79C8E53D">
        <w:rPr>
          <w:rFonts w:ascii="Arial" w:hAnsi="Arial" w:cs="Arial"/>
          <w:sz w:val="22"/>
          <w:szCs w:val="22"/>
        </w:rPr>
        <w:t xml:space="preserve"> </w:t>
      </w:r>
      <w:r w:rsidR="00946C66" w:rsidRPr="79C8E53D">
        <w:rPr>
          <w:rFonts w:ascii="Arial" w:hAnsi="Arial" w:cs="Arial"/>
          <w:noProof/>
          <w:sz w:val="22"/>
          <w:szCs w:val="22"/>
        </w:rPr>
        <w:t>Este componente contribuirá a la ampliación del acceso y de la calidad de los servicios de salud, así como de su organización a través del fortalecimiento de las redes de atención. Se financiarán: (i) la construcción e adquisición de equipos para una Maternidad de embarazo de alto riesgo; (ii) equipos para tres maternidades en el interior del Estado; (iii) la ampliación, reforma y equipos para el Hospital Infantil (HI); (iv) la construcción y equipos para el Hospital Oncológico (HO); (v) la reforma y equipos para el Laboratorio Central de Salud Pública (LACEN) y para el Centro de Atención Diagnóstica por Imagen (CADI); (vi) proyectos arquitectónicos para las obras, con atención a la accesibilidad para personas con discapacidad; (vii) ambulancias para el transporte interhospitalario de la red; y (viii) acreditación, por calidad, del HO y del LACEN.</w:t>
      </w:r>
    </w:p>
    <w:p w14:paraId="3CBCAF59" w14:textId="77777777" w:rsidR="006B65AD" w:rsidRPr="006B65AD" w:rsidRDefault="006B65AD" w:rsidP="006B65AD">
      <w:pPr>
        <w:autoSpaceDE w:val="0"/>
        <w:autoSpaceDN w:val="0"/>
        <w:adjustRightInd w:val="0"/>
        <w:jc w:val="both"/>
        <w:rPr>
          <w:rFonts w:ascii="Arial" w:hAnsi="Arial" w:cs="Arial"/>
          <w:bCs/>
          <w:sz w:val="22"/>
          <w:szCs w:val="22"/>
        </w:rPr>
      </w:pPr>
    </w:p>
    <w:p w14:paraId="75F6B3EC" w14:textId="64979761" w:rsidR="006B65AD" w:rsidRDefault="006B65AD" w:rsidP="79C8E53D">
      <w:pPr>
        <w:autoSpaceDE w:val="0"/>
        <w:autoSpaceDN w:val="0"/>
        <w:adjustRightInd w:val="0"/>
        <w:jc w:val="both"/>
        <w:rPr>
          <w:rFonts w:ascii="Arial" w:hAnsi="Arial" w:cs="Arial"/>
          <w:sz w:val="22"/>
          <w:szCs w:val="22"/>
        </w:rPr>
      </w:pPr>
      <w:r w:rsidRPr="79C8E53D">
        <w:rPr>
          <w:rFonts w:ascii="Arial" w:hAnsi="Arial" w:cs="Arial"/>
          <w:b/>
          <w:bCs/>
          <w:sz w:val="22"/>
          <w:szCs w:val="22"/>
        </w:rPr>
        <w:t>Componente 2. Fortalecimiento de la gestión del sistema sanitario (BID US$</w:t>
      </w:r>
      <w:r w:rsidR="00C76489" w:rsidRPr="79C8E53D">
        <w:rPr>
          <w:rFonts w:ascii="Arial" w:hAnsi="Arial" w:cs="Arial"/>
          <w:b/>
          <w:bCs/>
          <w:sz w:val="22"/>
          <w:szCs w:val="22"/>
        </w:rPr>
        <w:t>6</w:t>
      </w:r>
      <w:r w:rsidRPr="79C8E53D">
        <w:rPr>
          <w:rFonts w:ascii="Arial" w:hAnsi="Arial" w:cs="Arial"/>
          <w:b/>
          <w:bCs/>
          <w:sz w:val="22"/>
          <w:szCs w:val="22"/>
        </w:rPr>
        <w:t>.</w:t>
      </w:r>
      <w:r w:rsidR="00C76489" w:rsidRPr="79C8E53D">
        <w:rPr>
          <w:rFonts w:ascii="Arial" w:hAnsi="Arial" w:cs="Arial"/>
          <w:b/>
          <w:bCs/>
          <w:sz w:val="22"/>
          <w:szCs w:val="22"/>
        </w:rPr>
        <w:t>418</w:t>
      </w:r>
      <w:r w:rsidRPr="79C8E53D">
        <w:rPr>
          <w:rFonts w:ascii="Arial" w:hAnsi="Arial" w:cs="Arial"/>
          <w:b/>
          <w:bCs/>
          <w:sz w:val="22"/>
          <w:szCs w:val="22"/>
        </w:rPr>
        <w:t>.</w:t>
      </w:r>
      <w:r w:rsidR="00C76489" w:rsidRPr="79C8E53D">
        <w:rPr>
          <w:rFonts w:ascii="Arial" w:hAnsi="Arial" w:cs="Arial"/>
          <w:b/>
          <w:bCs/>
          <w:sz w:val="22"/>
          <w:szCs w:val="22"/>
        </w:rPr>
        <w:t>9</w:t>
      </w:r>
      <w:r w:rsidRPr="79C8E53D">
        <w:rPr>
          <w:rFonts w:ascii="Arial" w:hAnsi="Arial" w:cs="Arial"/>
          <w:b/>
          <w:bCs/>
          <w:sz w:val="22"/>
          <w:szCs w:val="22"/>
        </w:rPr>
        <w:t>00).</w:t>
      </w:r>
      <w:r w:rsidRPr="79C8E53D">
        <w:rPr>
          <w:rFonts w:ascii="Arial" w:hAnsi="Arial" w:cs="Arial"/>
          <w:sz w:val="22"/>
          <w:szCs w:val="22"/>
        </w:rPr>
        <w:t xml:space="preserve"> </w:t>
      </w:r>
      <w:r w:rsidR="00C506B7" w:rsidRPr="009D7C6C">
        <w:rPr>
          <w:rFonts w:ascii="Arial" w:hAnsi="Arial" w:cs="Arial"/>
          <w:noProof/>
          <w:sz w:val="22"/>
          <w:szCs w:val="22"/>
        </w:rPr>
        <w:t>Este componente contribuirá a la modernización de los procesos de gestión y asistenciales a través de la ampliación de las capacidades institucionales, estratégicas y gerenciales. Serán financiados: (i) servicios de logística automatizada de medicamentos y materiales médico-hospitalarios</w:t>
      </w:r>
      <w:r w:rsidR="00C506B7" w:rsidRPr="009D7C6C">
        <w:rPr>
          <w:rStyle w:val="FootnoteReference"/>
          <w:rFonts w:ascii="Arial" w:hAnsi="Arial" w:cs="Arial"/>
          <w:noProof/>
          <w:sz w:val="22"/>
          <w:szCs w:val="22"/>
        </w:rPr>
        <w:footnoteReference w:id="4"/>
      </w:r>
      <w:r w:rsidR="00C506B7" w:rsidRPr="009D7C6C">
        <w:rPr>
          <w:rFonts w:ascii="Arial" w:hAnsi="Arial" w:cs="Arial"/>
          <w:noProof/>
          <w:sz w:val="22"/>
          <w:szCs w:val="22"/>
        </w:rPr>
        <w:t>; (ii) estudios para la optimización de procesos de la SES; (iii)   sistema de gestión de recursos humanos; (iv) reforma, ampliación y equipos para la Escuela de Salud Pública; (v) capacitación de los profesionales, incluso en temas de diversidad; y (vi) elaboración de líneas de cuidado para las condiciones prevalentes (ECNT, oncología, materno-infantil y salud de la mujer).</w:t>
      </w:r>
    </w:p>
    <w:p w14:paraId="0B2BB62E" w14:textId="77777777" w:rsidR="006B65AD" w:rsidRPr="006B65AD" w:rsidRDefault="006B65AD" w:rsidP="006B65AD">
      <w:pPr>
        <w:autoSpaceDE w:val="0"/>
        <w:autoSpaceDN w:val="0"/>
        <w:adjustRightInd w:val="0"/>
        <w:jc w:val="both"/>
        <w:rPr>
          <w:rFonts w:ascii="Arial" w:hAnsi="Arial" w:cs="Arial"/>
          <w:bCs/>
          <w:sz w:val="22"/>
          <w:szCs w:val="22"/>
        </w:rPr>
      </w:pPr>
    </w:p>
    <w:p w14:paraId="76C394A5" w14:textId="0DDD948E" w:rsidR="00CE1741" w:rsidRPr="006B65AD" w:rsidRDefault="006B65AD" w:rsidP="79C8E53D">
      <w:pPr>
        <w:autoSpaceDE w:val="0"/>
        <w:autoSpaceDN w:val="0"/>
        <w:adjustRightInd w:val="0"/>
        <w:jc w:val="both"/>
        <w:rPr>
          <w:rFonts w:ascii="Arial" w:hAnsi="Arial" w:cs="Arial"/>
          <w:sz w:val="22"/>
          <w:szCs w:val="22"/>
        </w:rPr>
      </w:pPr>
      <w:r w:rsidRPr="79C8E53D">
        <w:rPr>
          <w:rFonts w:ascii="Arial" w:hAnsi="Arial" w:cs="Arial"/>
          <w:b/>
          <w:bCs/>
          <w:sz w:val="22"/>
          <w:szCs w:val="22"/>
        </w:rPr>
        <w:t xml:space="preserve">Componente 3. Modernización de la gestión </w:t>
      </w:r>
      <w:r w:rsidR="304D849A" w:rsidRPr="304D849A">
        <w:rPr>
          <w:rFonts w:ascii="Arial" w:hAnsi="Arial" w:cs="Arial"/>
          <w:b/>
          <w:bCs/>
          <w:sz w:val="22"/>
          <w:szCs w:val="22"/>
        </w:rPr>
        <w:t>de la información y del uso de nuevas tecnologías en salud</w:t>
      </w:r>
      <w:r w:rsidRPr="79C8E53D">
        <w:rPr>
          <w:rFonts w:ascii="Arial" w:hAnsi="Arial" w:cs="Arial"/>
          <w:b/>
          <w:bCs/>
          <w:sz w:val="22"/>
          <w:szCs w:val="22"/>
        </w:rPr>
        <w:t xml:space="preserve"> (BID US$</w:t>
      </w:r>
      <w:r w:rsidR="00FF108C" w:rsidRPr="79C8E53D">
        <w:rPr>
          <w:rFonts w:ascii="Arial" w:hAnsi="Arial" w:cs="Arial"/>
          <w:b/>
          <w:bCs/>
          <w:sz w:val="22"/>
          <w:szCs w:val="22"/>
        </w:rPr>
        <w:t>9</w:t>
      </w:r>
      <w:r w:rsidR="00A6263A" w:rsidRPr="79C8E53D">
        <w:rPr>
          <w:rFonts w:ascii="Arial" w:hAnsi="Arial" w:cs="Arial"/>
          <w:b/>
          <w:bCs/>
          <w:sz w:val="22"/>
          <w:szCs w:val="22"/>
        </w:rPr>
        <w:t>.</w:t>
      </w:r>
      <w:r w:rsidR="00FF108C" w:rsidRPr="79C8E53D">
        <w:rPr>
          <w:rFonts w:ascii="Arial" w:hAnsi="Arial" w:cs="Arial"/>
          <w:b/>
          <w:bCs/>
          <w:sz w:val="22"/>
          <w:szCs w:val="22"/>
        </w:rPr>
        <w:t>295</w:t>
      </w:r>
      <w:r w:rsidRPr="79C8E53D">
        <w:rPr>
          <w:rFonts w:ascii="Arial" w:hAnsi="Arial" w:cs="Arial"/>
          <w:b/>
          <w:bCs/>
          <w:sz w:val="22"/>
          <w:szCs w:val="22"/>
        </w:rPr>
        <w:t>.000).</w:t>
      </w:r>
      <w:r w:rsidRPr="79C8E53D">
        <w:rPr>
          <w:rFonts w:ascii="Arial" w:hAnsi="Arial" w:cs="Arial"/>
          <w:sz w:val="22"/>
          <w:szCs w:val="22"/>
        </w:rPr>
        <w:t xml:space="preserve"> </w:t>
      </w:r>
      <w:r w:rsidR="00C506B7" w:rsidRPr="009D7C6C">
        <w:rPr>
          <w:rFonts w:ascii="Arial" w:hAnsi="Arial" w:cs="Arial"/>
          <w:noProof/>
          <w:sz w:val="22"/>
          <w:szCs w:val="22"/>
        </w:rPr>
        <w:t>Este componente contribuirá a la transformación digital del sector salud a través de cambios de procesos y la adopción intensiva de nuevas tecnologías para el área clínica y gerencial basado en los 6 componentes de la transformación digital del sector</w:t>
      </w:r>
      <w:r w:rsidR="00C506B7" w:rsidRPr="009D7C6C">
        <w:rPr>
          <w:rStyle w:val="FootnoteReference"/>
          <w:rFonts w:ascii="Arial" w:hAnsi="Arial" w:cs="Arial"/>
          <w:noProof/>
          <w:sz w:val="22"/>
          <w:szCs w:val="22"/>
        </w:rPr>
        <w:footnoteReference w:id="5"/>
      </w:r>
      <w:r w:rsidR="00C506B7" w:rsidRPr="009D7C6C">
        <w:rPr>
          <w:rFonts w:ascii="Arial" w:hAnsi="Arial" w:cs="Arial"/>
          <w:noProof/>
          <w:sz w:val="22"/>
          <w:szCs w:val="22"/>
        </w:rPr>
        <w:t xml:space="preserve">. Serán financiados: (i) la elaboración de instrumentos para la gestión de salud </w:t>
      </w:r>
      <w:r w:rsidR="00C506B7" w:rsidRPr="009D7C6C">
        <w:rPr>
          <w:rFonts w:ascii="Arial" w:hAnsi="Arial" w:cs="Arial"/>
          <w:noProof/>
          <w:sz w:val="22"/>
          <w:szCs w:val="22"/>
        </w:rPr>
        <w:lastRenderedPageBreak/>
        <w:t>digital (Plan Estratégico, Plan de Acción y normativas claves); (ii) equipos informáticos y softwares para ampliar y modernizar el parque tecnológico del sector; (iii) Sistema de Registro Electrónico de Salud interoperable; (iv) implementación del Centro de Información y Decisiones Estratégicas de la Secretaría de Salud del Estado de Sergipe (SES/SE) con capacidad para el monitoreo de datos de género y diversidad; (v) Sistema de regulación de servicios de salud; (v) Sistema de gestión hospitalaria y sistema de gestión de servicios ambulatorios; (vi) portal web de pacientes, profesionales y gestores; (vii) canal telefónico de orientaciones de salud (servicio "Alô Sergipe"); (viii) servicio de regulación del acceso a especialidades y teleconsultoria.</w:t>
      </w:r>
    </w:p>
    <w:p w14:paraId="05B219B0" w14:textId="77777777" w:rsidR="006B65AD" w:rsidRPr="00E3572B" w:rsidRDefault="006B65AD" w:rsidP="006B65AD">
      <w:pPr>
        <w:autoSpaceDE w:val="0"/>
        <w:autoSpaceDN w:val="0"/>
        <w:adjustRightInd w:val="0"/>
        <w:jc w:val="both"/>
        <w:rPr>
          <w:rFonts w:ascii="Arial" w:hAnsi="Arial" w:cs="Arial"/>
          <w:sz w:val="22"/>
          <w:szCs w:val="22"/>
        </w:rPr>
      </w:pPr>
    </w:p>
    <w:p w14:paraId="56DEDC0E" w14:textId="42D7E60A" w:rsidR="00AF49EF" w:rsidRDefault="00144E12" w:rsidP="00CC7653">
      <w:pPr>
        <w:pStyle w:val="Caption"/>
      </w:pPr>
      <w:r w:rsidRPr="00E911A6">
        <w:t xml:space="preserve">Tabla </w:t>
      </w:r>
      <w:r w:rsidRPr="00E911A6">
        <w:fldChar w:fldCharType="begin"/>
      </w:r>
      <w:r w:rsidRPr="00E911A6">
        <w:instrText xml:space="preserve"> SEQ Tabla \* ARABIC </w:instrText>
      </w:r>
      <w:r w:rsidRPr="00E911A6">
        <w:fldChar w:fldCharType="separate"/>
      </w:r>
      <w:r w:rsidR="00987350">
        <w:rPr>
          <w:noProof/>
        </w:rPr>
        <w:t>1</w:t>
      </w:r>
      <w:r w:rsidRPr="00E911A6">
        <w:fldChar w:fldCharType="end"/>
      </w:r>
      <w:r w:rsidRPr="00E911A6">
        <w:t xml:space="preserve">. </w:t>
      </w:r>
      <w:r w:rsidR="009A7589" w:rsidRPr="00E911A6">
        <w:t>Costos de la operación</w:t>
      </w:r>
      <w:r w:rsidR="006A564C" w:rsidRPr="00E911A6">
        <w:t xml:space="preserve"> (US$</w:t>
      </w:r>
      <w:r w:rsidR="00023F9D" w:rsidRPr="00E911A6">
        <w:t>)</w:t>
      </w:r>
    </w:p>
    <w:p w14:paraId="309F1496" w14:textId="77777777" w:rsidR="008F47E9" w:rsidRPr="008F47E9" w:rsidRDefault="008F47E9" w:rsidP="008F47E9">
      <w:pPr>
        <w:rPr>
          <w:lang w:val="es-ES_tradnl"/>
        </w:rPr>
      </w:pPr>
    </w:p>
    <w:tbl>
      <w:tblPr>
        <w:tblStyle w:val="PlainTable21"/>
        <w:tblW w:w="6768" w:type="dxa"/>
        <w:jc w:val="center"/>
        <w:tblLayout w:type="fixed"/>
        <w:tblLook w:val="06A0" w:firstRow="1" w:lastRow="0" w:firstColumn="1" w:lastColumn="0" w:noHBand="1" w:noVBand="1"/>
      </w:tblPr>
      <w:tblGrid>
        <w:gridCol w:w="1728"/>
        <w:gridCol w:w="1440"/>
        <w:gridCol w:w="1440"/>
        <w:gridCol w:w="1440"/>
        <w:gridCol w:w="720"/>
      </w:tblGrid>
      <w:tr w:rsidR="006F2DCF" w:rsidRPr="00DF5B4A" w14:paraId="6E91B336" w14:textId="77777777" w:rsidTr="00C014E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28" w:type="dxa"/>
            <w:vAlign w:val="center"/>
            <w:hideMark/>
          </w:tcPr>
          <w:p w14:paraId="00F06AB2" w14:textId="77777777" w:rsidR="006F2DCF" w:rsidRPr="00DF5B4A" w:rsidRDefault="006F2DCF" w:rsidP="00C014EC">
            <w:pPr>
              <w:keepNext/>
              <w:keepLines/>
              <w:ind w:left="185"/>
              <w:jc w:val="center"/>
              <w:rPr>
                <w:rFonts w:ascii="Arial" w:hAnsi="Arial" w:cs="Arial"/>
                <w:color w:val="000000"/>
                <w:sz w:val="16"/>
                <w:szCs w:val="16"/>
              </w:rPr>
            </w:pPr>
            <w:bookmarkStart w:id="18" w:name="_Toc296257185"/>
            <w:bookmarkEnd w:id="12"/>
            <w:r w:rsidRPr="00DF5B4A">
              <w:rPr>
                <w:rFonts w:ascii="Arial" w:hAnsi="Arial" w:cs="Arial"/>
                <w:color w:val="000000"/>
                <w:sz w:val="16"/>
                <w:szCs w:val="16"/>
              </w:rPr>
              <w:t>Componentes</w:t>
            </w:r>
          </w:p>
        </w:tc>
        <w:tc>
          <w:tcPr>
            <w:tcW w:w="1440" w:type="dxa"/>
            <w:vAlign w:val="center"/>
          </w:tcPr>
          <w:p w14:paraId="2239DD0C" w14:textId="77777777" w:rsidR="006F2DCF" w:rsidRPr="00DF5B4A" w:rsidRDefault="006F2DCF" w:rsidP="00C014EC">
            <w:pPr>
              <w:keepNext/>
              <w:keepLines/>
              <w:ind w:left="19"/>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BID</w:t>
            </w:r>
          </w:p>
        </w:tc>
        <w:tc>
          <w:tcPr>
            <w:tcW w:w="1440" w:type="dxa"/>
            <w:vAlign w:val="center"/>
          </w:tcPr>
          <w:p w14:paraId="20E1D98C" w14:textId="77777777" w:rsidR="006F2DCF" w:rsidRPr="00DF5B4A" w:rsidRDefault="006F2DCF" w:rsidP="00C014EC">
            <w:pPr>
              <w:keepNext/>
              <w:keepLines/>
              <w:ind w:firstLine="19"/>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Local</w:t>
            </w:r>
          </w:p>
        </w:tc>
        <w:tc>
          <w:tcPr>
            <w:tcW w:w="1440" w:type="dxa"/>
            <w:vAlign w:val="center"/>
            <w:hideMark/>
          </w:tcPr>
          <w:p w14:paraId="13639A14" w14:textId="77777777" w:rsidR="006F2DCF" w:rsidRPr="00DF5B4A" w:rsidRDefault="006F2DCF" w:rsidP="00C014EC">
            <w:pPr>
              <w:keepNext/>
              <w:keepLines/>
              <w:ind w:left="19" w:hanging="19"/>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Total</w:t>
            </w:r>
          </w:p>
        </w:tc>
        <w:tc>
          <w:tcPr>
            <w:tcW w:w="720" w:type="dxa"/>
            <w:vAlign w:val="center"/>
            <w:hideMark/>
          </w:tcPr>
          <w:p w14:paraId="6F1AB4A9" w14:textId="77777777" w:rsidR="006F2DCF" w:rsidRPr="00DF5B4A" w:rsidRDefault="006F2DCF" w:rsidP="00C014EC">
            <w:pPr>
              <w:keepNext/>
              <w:keepLines/>
              <w:ind w:left="-119" w:right="-149"/>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w:t>
            </w:r>
          </w:p>
        </w:tc>
      </w:tr>
      <w:tr w:rsidR="006F2DCF" w:rsidRPr="00DF5B4A" w14:paraId="5B434C88" w14:textId="77777777" w:rsidTr="00C014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669511EE" w14:textId="77777777" w:rsidR="006F2DCF" w:rsidRPr="00DF5B4A" w:rsidRDefault="006F2DCF" w:rsidP="00C014EC">
            <w:pPr>
              <w:keepNext/>
              <w:keepLines/>
              <w:tabs>
                <w:tab w:val="left" w:pos="5470"/>
              </w:tabs>
              <w:ind w:right="-16"/>
              <w:jc w:val="both"/>
              <w:rPr>
                <w:rFonts w:ascii="Arial" w:hAnsi="Arial" w:cs="Arial"/>
                <w:color w:val="000000"/>
                <w:sz w:val="16"/>
                <w:szCs w:val="16"/>
              </w:rPr>
            </w:pPr>
            <w:r w:rsidRPr="00DF5B4A">
              <w:rPr>
                <w:rFonts w:ascii="Arial" w:hAnsi="Arial" w:cs="Arial"/>
                <w:color w:val="000000"/>
                <w:sz w:val="16"/>
                <w:szCs w:val="16"/>
              </w:rPr>
              <w:t>Componente 1</w:t>
            </w:r>
          </w:p>
        </w:tc>
        <w:tc>
          <w:tcPr>
            <w:tcW w:w="1440" w:type="dxa"/>
            <w:vAlign w:val="center"/>
          </w:tcPr>
          <w:p w14:paraId="7FDDC647" w14:textId="0DA49357" w:rsidR="006F2DCF" w:rsidRPr="00DF5B4A" w:rsidRDefault="006F2DCF" w:rsidP="00C014EC">
            <w:pPr>
              <w:keepNext/>
              <w:keepLines/>
              <w:ind w:left="19"/>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DF5B4A">
              <w:rPr>
                <w:rFonts w:ascii="Arial" w:hAnsi="Arial" w:cs="Arial"/>
                <w:bCs/>
                <w:color w:val="000000"/>
                <w:sz w:val="16"/>
                <w:szCs w:val="16"/>
              </w:rPr>
              <w:t>$1</w:t>
            </w:r>
            <w:r w:rsidR="00310CE9">
              <w:rPr>
                <w:rFonts w:ascii="Arial" w:hAnsi="Arial" w:cs="Arial"/>
                <w:bCs/>
                <w:color w:val="000000"/>
                <w:sz w:val="16"/>
                <w:szCs w:val="16"/>
              </w:rPr>
              <w:t>8</w:t>
            </w:r>
            <w:r w:rsidRPr="00DF5B4A">
              <w:rPr>
                <w:rFonts w:ascii="Arial" w:hAnsi="Arial" w:cs="Arial"/>
                <w:bCs/>
                <w:color w:val="000000"/>
                <w:sz w:val="16"/>
                <w:szCs w:val="16"/>
              </w:rPr>
              <w:t>.</w:t>
            </w:r>
            <w:r w:rsidR="00310CE9">
              <w:rPr>
                <w:rFonts w:ascii="Arial" w:hAnsi="Arial" w:cs="Arial"/>
                <w:bCs/>
                <w:color w:val="000000"/>
                <w:sz w:val="16"/>
                <w:szCs w:val="16"/>
              </w:rPr>
              <w:t>536</w:t>
            </w:r>
            <w:r w:rsidRPr="00DF5B4A">
              <w:rPr>
                <w:rFonts w:ascii="Arial" w:hAnsi="Arial" w:cs="Arial"/>
                <w:bCs/>
                <w:color w:val="000000"/>
                <w:sz w:val="16"/>
                <w:szCs w:val="16"/>
              </w:rPr>
              <w:t>.</w:t>
            </w:r>
            <w:r w:rsidR="00310CE9">
              <w:rPr>
                <w:rFonts w:ascii="Arial" w:hAnsi="Arial" w:cs="Arial"/>
                <w:bCs/>
                <w:color w:val="000000"/>
                <w:sz w:val="16"/>
                <w:szCs w:val="16"/>
              </w:rPr>
              <w:t>1</w:t>
            </w:r>
            <w:r w:rsidRPr="00DF5B4A">
              <w:rPr>
                <w:rFonts w:ascii="Arial" w:hAnsi="Arial" w:cs="Arial"/>
                <w:bCs/>
                <w:color w:val="000000"/>
                <w:sz w:val="16"/>
                <w:szCs w:val="16"/>
              </w:rPr>
              <w:t>00</w:t>
            </w:r>
          </w:p>
        </w:tc>
        <w:tc>
          <w:tcPr>
            <w:tcW w:w="1440" w:type="dxa"/>
            <w:vAlign w:val="center"/>
          </w:tcPr>
          <w:p w14:paraId="7A0C846E" w14:textId="77777777" w:rsidR="006F2DCF" w:rsidRPr="00DF5B4A" w:rsidRDefault="006F2DCF" w:rsidP="00C014EC">
            <w:pPr>
              <w:keepNext/>
              <w:keepLines/>
              <w:ind w:firstLine="19"/>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DF5B4A">
              <w:rPr>
                <w:rFonts w:ascii="Arial" w:hAnsi="Arial" w:cs="Arial"/>
                <w:bCs/>
                <w:color w:val="000000"/>
                <w:sz w:val="16"/>
                <w:szCs w:val="16"/>
              </w:rPr>
              <w:t>$9.100.000</w:t>
            </w:r>
          </w:p>
        </w:tc>
        <w:tc>
          <w:tcPr>
            <w:tcW w:w="1440" w:type="dxa"/>
            <w:vAlign w:val="center"/>
          </w:tcPr>
          <w:p w14:paraId="4D416CDE" w14:textId="50807105" w:rsidR="006F2DCF" w:rsidRPr="00DF5B4A" w:rsidRDefault="006F2DCF" w:rsidP="00C014EC">
            <w:pPr>
              <w:keepNext/>
              <w:keepLines/>
              <w:ind w:left="19" w:hanging="19"/>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6"/>
                <w:szCs w:val="16"/>
              </w:rPr>
            </w:pPr>
            <w:r w:rsidRPr="00DF5B4A">
              <w:rPr>
                <w:rFonts w:ascii="Arial" w:hAnsi="Arial" w:cs="Arial"/>
                <w:bCs/>
                <w:color w:val="000000"/>
                <w:sz w:val="16"/>
                <w:szCs w:val="16"/>
              </w:rPr>
              <w:t>$2</w:t>
            </w:r>
            <w:r w:rsidR="00C54EE8">
              <w:rPr>
                <w:rFonts w:ascii="Arial" w:hAnsi="Arial" w:cs="Arial"/>
                <w:bCs/>
                <w:color w:val="000000"/>
                <w:sz w:val="16"/>
                <w:szCs w:val="16"/>
              </w:rPr>
              <w:t>7.636.100</w:t>
            </w:r>
          </w:p>
        </w:tc>
        <w:tc>
          <w:tcPr>
            <w:tcW w:w="720" w:type="dxa"/>
            <w:vAlign w:val="center"/>
          </w:tcPr>
          <w:p w14:paraId="61FA52B1" w14:textId="3399A5FB" w:rsidR="006F2DCF" w:rsidRPr="00DF5B4A" w:rsidRDefault="00C54EE8" w:rsidP="00C014EC">
            <w:pPr>
              <w:keepNext/>
              <w:keepLines/>
              <w:ind w:left="-119" w:right="-14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63</w:t>
            </w:r>
            <w:r w:rsidR="006F2DCF">
              <w:rPr>
                <w:rFonts w:ascii="Arial" w:hAnsi="Arial" w:cs="Arial"/>
                <w:color w:val="000000"/>
                <w:sz w:val="16"/>
                <w:szCs w:val="16"/>
              </w:rPr>
              <w:t>.</w:t>
            </w:r>
            <w:r>
              <w:rPr>
                <w:rFonts w:ascii="Arial" w:hAnsi="Arial" w:cs="Arial"/>
                <w:color w:val="000000"/>
                <w:sz w:val="16"/>
                <w:szCs w:val="16"/>
              </w:rPr>
              <w:t>8</w:t>
            </w:r>
          </w:p>
        </w:tc>
      </w:tr>
      <w:tr w:rsidR="006F2DCF" w:rsidRPr="00DF5B4A" w14:paraId="58D1366B" w14:textId="77777777" w:rsidTr="00C014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3FDBDD64" w14:textId="77777777" w:rsidR="006F2DCF" w:rsidRPr="00DF5B4A" w:rsidRDefault="006F2DCF" w:rsidP="00C014EC">
            <w:pPr>
              <w:keepNext/>
              <w:keepLines/>
              <w:tabs>
                <w:tab w:val="left" w:pos="5372"/>
                <w:tab w:val="left" w:pos="5470"/>
              </w:tabs>
              <w:ind w:right="-16"/>
              <w:jc w:val="both"/>
              <w:rPr>
                <w:rFonts w:ascii="Arial" w:hAnsi="Arial" w:cs="Arial"/>
                <w:color w:val="000000"/>
                <w:sz w:val="16"/>
                <w:szCs w:val="16"/>
              </w:rPr>
            </w:pPr>
            <w:r w:rsidRPr="00DF5B4A">
              <w:rPr>
                <w:rFonts w:ascii="Arial" w:hAnsi="Arial" w:cs="Arial"/>
                <w:color w:val="000000"/>
                <w:sz w:val="16"/>
                <w:szCs w:val="16"/>
              </w:rPr>
              <w:t xml:space="preserve">Componente 2 </w:t>
            </w:r>
          </w:p>
        </w:tc>
        <w:tc>
          <w:tcPr>
            <w:tcW w:w="1440" w:type="dxa"/>
            <w:vAlign w:val="center"/>
          </w:tcPr>
          <w:p w14:paraId="70C912F4" w14:textId="7CC3C4C6" w:rsidR="006F2DCF" w:rsidRPr="00DF5B4A" w:rsidRDefault="006F2DCF" w:rsidP="00C014EC">
            <w:pPr>
              <w:keepNext/>
              <w:keepLines/>
              <w:ind w:left="1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w:t>
            </w:r>
            <w:r w:rsidR="00310CE9">
              <w:rPr>
                <w:rFonts w:ascii="Arial" w:hAnsi="Arial" w:cs="Arial"/>
                <w:color w:val="000000"/>
                <w:sz w:val="16"/>
                <w:szCs w:val="16"/>
              </w:rPr>
              <w:t>6</w:t>
            </w:r>
            <w:r w:rsidRPr="00DF5B4A">
              <w:rPr>
                <w:rFonts w:ascii="Arial" w:hAnsi="Arial" w:cs="Arial"/>
                <w:color w:val="000000"/>
                <w:sz w:val="16"/>
                <w:szCs w:val="16"/>
              </w:rPr>
              <w:t>.</w:t>
            </w:r>
            <w:r w:rsidR="00310CE9">
              <w:rPr>
                <w:rFonts w:ascii="Arial" w:hAnsi="Arial" w:cs="Arial"/>
                <w:color w:val="000000"/>
                <w:sz w:val="16"/>
                <w:szCs w:val="16"/>
              </w:rPr>
              <w:t>418</w:t>
            </w:r>
            <w:r w:rsidRPr="00DF5B4A">
              <w:rPr>
                <w:rFonts w:ascii="Arial" w:hAnsi="Arial" w:cs="Arial"/>
                <w:color w:val="000000"/>
                <w:sz w:val="16"/>
                <w:szCs w:val="16"/>
              </w:rPr>
              <w:t>.</w:t>
            </w:r>
            <w:r w:rsidR="00310CE9">
              <w:rPr>
                <w:rFonts w:ascii="Arial" w:hAnsi="Arial" w:cs="Arial"/>
                <w:color w:val="000000"/>
                <w:sz w:val="16"/>
                <w:szCs w:val="16"/>
              </w:rPr>
              <w:t>9</w:t>
            </w:r>
            <w:r w:rsidRPr="00DF5B4A">
              <w:rPr>
                <w:rFonts w:ascii="Arial" w:hAnsi="Arial" w:cs="Arial"/>
                <w:color w:val="000000"/>
                <w:sz w:val="16"/>
                <w:szCs w:val="16"/>
              </w:rPr>
              <w:t>00</w:t>
            </w:r>
          </w:p>
        </w:tc>
        <w:tc>
          <w:tcPr>
            <w:tcW w:w="1440" w:type="dxa"/>
            <w:vAlign w:val="center"/>
          </w:tcPr>
          <w:p w14:paraId="6CE8FB5F" w14:textId="77777777" w:rsidR="006F2DCF" w:rsidRPr="00DF5B4A" w:rsidRDefault="006F2DCF" w:rsidP="00C014EC">
            <w:pPr>
              <w:keepNext/>
              <w:keepLines/>
              <w:ind w:firstLine="1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 -</w:t>
            </w:r>
          </w:p>
        </w:tc>
        <w:tc>
          <w:tcPr>
            <w:tcW w:w="1440" w:type="dxa"/>
            <w:noWrap/>
            <w:vAlign w:val="center"/>
          </w:tcPr>
          <w:p w14:paraId="41005888" w14:textId="45BA97AF" w:rsidR="006F2DCF" w:rsidRPr="00DF5B4A" w:rsidRDefault="00C54EE8" w:rsidP="00C014EC">
            <w:pPr>
              <w:keepNext/>
              <w:keepLines/>
              <w:ind w:left="19" w:hanging="1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w:t>
            </w:r>
            <w:r>
              <w:rPr>
                <w:rFonts w:ascii="Arial" w:hAnsi="Arial" w:cs="Arial"/>
                <w:color w:val="000000"/>
                <w:sz w:val="16"/>
                <w:szCs w:val="16"/>
              </w:rPr>
              <w:t>6</w:t>
            </w:r>
            <w:r w:rsidRPr="00DF5B4A">
              <w:rPr>
                <w:rFonts w:ascii="Arial" w:hAnsi="Arial" w:cs="Arial"/>
                <w:color w:val="000000"/>
                <w:sz w:val="16"/>
                <w:szCs w:val="16"/>
              </w:rPr>
              <w:t>.</w:t>
            </w:r>
            <w:r>
              <w:rPr>
                <w:rFonts w:ascii="Arial" w:hAnsi="Arial" w:cs="Arial"/>
                <w:color w:val="000000"/>
                <w:sz w:val="16"/>
                <w:szCs w:val="16"/>
              </w:rPr>
              <w:t>418</w:t>
            </w:r>
            <w:r w:rsidRPr="00DF5B4A">
              <w:rPr>
                <w:rFonts w:ascii="Arial" w:hAnsi="Arial" w:cs="Arial"/>
                <w:color w:val="000000"/>
                <w:sz w:val="16"/>
                <w:szCs w:val="16"/>
              </w:rPr>
              <w:t>.</w:t>
            </w:r>
            <w:r>
              <w:rPr>
                <w:rFonts w:ascii="Arial" w:hAnsi="Arial" w:cs="Arial"/>
                <w:color w:val="000000"/>
                <w:sz w:val="16"/>
                <w:szCs w:val="16"/>
              </w:rPr>
              <w:t>9</w:t>
            </w:r>
            <w:r w:rsidRPr="00DF5B4A">
              <w:rPr>
                <w:rFonts w:ascii="Arial" w:hAnsi="Arial" w:cs="Arial"/>
                <w:color w:val="000000"/>
                <w:sz w:val="16"/>
                <w:szCs w:val="16"/>
              </w:rPr>
              <w:t>00</w:t>
            </w:r>
          </w:p>
        </w:tc>
        <w:tc>
          <w:tcPr>
            <w:tcW w:w="720" w:type="dxa"/>
            <w:vAlign w:val="center"/>
          </w:tcPr>
          <w:p w14:paraId="45513E56" w14:textId="12946B2E" w:rsidR="006F2DCF" w:rsidRPr="00DF5B4A" w:rsidRDefault="006F2DCF" w:rsidP="00C014EC">
            <w:pPr>
              <w:keepNext/>
              <w:keepLines/>
              <w:ind w:left="-119" w:right="-14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1</w:t>
            </w:r>
            <w:r w:rsidR="00C54EE8">
              <w:rPr>
                <w:rFonts w:ascii="Arial" w:hAnsi="Arial" w:cs="Arial"/>
                <w:color w:val="000000"/>
                <w:sz w:val="16"/>
                <w:szCs w:val="16"/>
              </w:rPr>
              <w:t>4</w:t>
            </w:r>
            <w:r>
              <w:rPr>
                <w:rFonts w:ascii="Arial" w:hAnsi="Arial" w:cs="Arial"/>
                <w:color w:val="000000"/>
                <w:sz w:val="16"/>
                <w:szCs w:val="16"/>
              </w:rPr>
              <w:t>.</w:t>
            </w:r>
            <w:r w:rsidR="00C54EE8">
              <w:rPr>
                <w:rFonts w:ascii="Arial" w:hAnsi="Arial" w:cs="Arial"/>
                <w:color w:val="000000"/>
                <w:sz w:val="16"/>
                <w:szCs w:val="16"/>
              </w:rPr>
              <w:t>8</w:t>
            </w:r>
          </w:p>
        </w:tc>
      </w:tr>
      <w:tr w:rsidR="006F2DCF" w:rsidRPr="00DF5B4A" w14:paraId="33F9CB32" w14:textId="77777777" w:rsidTr="00C014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tcBorders>
              <w:bottom w:val="single" w:sz="4" w:space="0" w:color="7F7F7F"/>
            </w:tcBorders>
            <w:vAlign w:val="center"/>
          </w:tcPr>
          <w:p w14:paraId="6D218428" w14:textId="77777777" w:rsidR="006F2DCF" w:rsidRPr="00DF5B4A" w:rsidRDefault="006F2DCF" w:rsidP="00C014EC">
            <w:pPr>
              <w:keepNext/>
              <w:keepLines/>
              <w:tabs>
                <w:tab w:val="left" w:pos="5372"/>
                <w:tab w:val="left" w:pos="5470"/>
              </w:tabs>
              <w:ind w:right="-16"/>
              <w:jc w:val="both"/>
              <w:rPr>
                <w:rFonts w:ascii="Arial" w:hAnsi="Arial" w:cs="Arial"/>
                <w:color w:val="000000"/>
                <w:sz w:val="16"/>
                <w:szCs w:val="16"/>
              </w:rPr>
            </w:pPr>
            <w:r w:rsidRPr="00DF5B4A">
              <w:rPr>
                <w:rFonts w:ascii="Arial" w:hAnsi="Arial" w:cs="Arial"/>
                <w:color w:val="000000"/>
                <w:sz w:val="16"/>
                <w:szCs w:val="16"/>
              </w:rPr>
              <w:t xml:space="preserve">Componente 3 </w:t>
            </w:r>
          </w:p>
        </w:tc>
        <w:tc>
          <w:tcPr>
            <w:tcW w:w="1440" w:type="dxa"/>
            <w:tcBorders>
              <w:bottom w:val="single" w:sz="4" w:space="0" w:color="7F7F7F"/>
            </w:tcBorders>
            <w:vAlign w:val="center"/>
          </w:tcPr>
          <w:p w14:paraId="39D7D1D7" w14:textId="15D888CE" w:rsidR="006F2DCF" w:rsidRPr="00DF5B4A" w:rsidRDefault="006F2DCF" w:rsidP="00C014EC">
            <w:pPr>
              <w:keepNext/>
              <w:keepLines/>
              <w:ind w:left="1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w:t>
            </w:r>
            <w:r w:rsidR="00310CE9">
              <w:rPr>
                <w:rFonts w:ascii="Arial" w:hAnsi="Arial" w:cs="Arial"/>
                <w:color w:val="000000"/>
                <w:sz w:val="16"/>
                <w:szCs w:val="16"/>
              </w:rPr>
              <w:t>9</w:t>
            </w:r>
            <w:r>
              <w:rPr>
                <w:rFonts w:ascii="Arial" w:hAnsi="Arial" w:cs="Arial"/>
                <w:color w:val="000000"/>
                <w:sz w:val="16"/>
                <w:szCs w:val="16"/>
              </w:rPr>
              <w:t>.</w:t>
            </w:r>
            <w:r w:rsidR="00310CE9">
              <w:rPr>
                <w:rFonts w:ascii="Arial" w:hAnsi="Arial" w:cs="Arial"/>
                <w:color w:val="000000"/>
                <w:sz w:val="16"/>
                <w:szCs w:val="16"/>
              </w:rPr>
              <w:t>295</w:t>
            </w:r>
            <w:r w:rsidRPr="00DF5B4A">
              <w:rPr>
                <w:rFonts w:ascii="Arial" w:hAnsi="Arial" w:cs="Arial"/>
                <w:color w:val="000000"/>
                <w:sz w:val="16"/>
                <w:szCs w:val="16"/>
              </w:rPr>
              <w:t>.000</w:t>
            </w:r>
          </w:p>
        </w:tc>
        <w:tc>
          <w:tcPr>
            <w:tcW w:w="1440" w:type="dxa"/>
            <w:tcBorders>
              <w:bottom w:val="single" w:sz="4" w:space="0" w:color="7F7F7F"/>
            </w:tcBorders>
            <w:vAlign w:val="center"/>
          </w:tcPr>
          <w:p w14:paraId="279A00BF" w14:textId="77777777" w:rsidR="006F2DCF" w:rsidRPr="00DF5B4A" w:rsidRDefault="006F2DCF" w:rsidP="00C014EC">
            <w:pPr>
              <w:keepNext/>
              <w:keepLines/>
              <w:ind w:firstLine="1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 -</w:t>
            </w:r>
          </w:p>
        </w:tc>
        <w:tc>
          <w:tcPr>
            <w:tcW w:w="1440" w:type="dxa"/>
            <w:tcBorders>
              <w:bottom w:val="single" w:sz="4" w:space="0" w:color="7F7F7F"/>
            </w:tcBorders>
            <w:noWrap/>
            <w:vAlign w:val="center"/>
          </w:tcPr>
          <w:p w14:paraId="5A1B587B" w14:textId="515994F6" w:rsidR="006F2DCF" w:rsidRPr="00DF5B4A" w:rsidRDefault="00C54EE8" w:rsidP="00C014EC">
            <w:pPr>
              <w:keepNext/>
              <w:keepLines/>
              <w:ind w:left="19" w:hanging="1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F5B4A">
              <w:rPr>
                <w:rFonts w:ascii="Arial" w:hAnsi="Arial" w:cs="Arial"/>
                <w:color w:val="000000"/>
                <w:sz w:val="16"/>
                <w:szCs w:val="16"/>
              </w:rPr>
              <w:t>$</w:t>
            </w:r>
            <w:r>
              <w:rPr>
                <w:rFonts w:ascii="Arial" w:hAnsi="Arial" w:cs="Arial"/>
                <w:color w:val="000000"/>
                <w:sz w:val="16"/>
                <w:szCs w:val="16"/>
              </w:rPr>
              <w:t>9.295</w:t>
            </w:r>
            <w:r w:rsidRPr="00DF5B4A">
              <w:rPr>
                <w:rFonts w:ascii="Arial" w:hAnsi="Arial" w:cs="Arial"/>
                <w:color w:val="000000"/>
                <w:sz w:val="16"/>
                <w:szCs w:val="16"/>
              </w:rPr>
              <w:t>.000</w:t>
            </w:r>
          </w:p>
        </w:tc>
        <w:tc>
          <w:tcPr>
            <w:tcW w:w="720" w:type="dxa"/>
            <w:tcBorders>
              <w:bottom w:val="single" w:sz="4" w:space="0" w:color="7F7F7F"/>
            </w:tcBorders>
            <w:vAlign w:val="center"/>
          </w:tcPr>
          <w:p w14:paraId="661E5041" w14:textId="15C19DFA" w:rsidR="006F2DCF" w:rsidRPr="00DF5B4A" w:rsidRDefault="006F2DCF" w:rsidP="00C014EC">
            <w:pPr>
              <w:keepNext/>
              <w:keepLines/>
              <w:ind w:left="-119" w:right="-149"/>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2</w:t>
            </w:r>
            <w:r w:rsidR="00C54EE8">
              <w:rPr>
                <w:rFonts w:ascii="Arial" w:hAnsi="Arial" w:cs="Arial"/>
                <w:color w:val="000000"/>
                <w:sz w:val="16"/>
                <w:szCs w:val="16"/>
              </w:rPr>
              <w:t>1.4</w:t>
            </w:r>
          </w:p>
        </w:tc>
      </w:tr>
      <w:tr w:rsidR="006F2DCF" w:rsidRPr="00DC3A52" w14:paraId="5C30AC40" w14:textId="77777777" w:rsidTr="00C014EC">
        <w:trPr>
          <w:trHeight w:val="288"/>
          <w:jc w:val="center"/>
        </w:trPr>
        <w:tc>
          <w:tcPr>
            <w:cnfStyle w:val="001000000000" w:firstRow="0" w:lastRow="0" w:firstColumn="1" w:lastColumn="0" w:oddVBand="0" w:evenVBand="0" w:oddHBand="0" w:evenHBand="0" w:firstRowFirstColumn="0" w:firstRowLastColumn="0" w:lastRowFirstColumn="0" w:lastRowLastColumn="0"/>
            <w:tcW w:w="1728" w:type="dxa"/>
            <w:tcBorders>
              <w:top w:val="single" w:sz="4" w:space="0" w:color="7F7F7F"/>
              <w:bottom w:val="single" w:sz="4" w:space="0" w:color="7F7F7F"/>
            </w:tcBorders>
            <w:shd w:val="clear" w:color="auto" w:fill="F2F2F2"/>
            <w:vAlign w:val="center"/>
          </w:tcPr>
          <w:p w14:paraId="10F50121" w14:textId="77777777" w:rsidR="006F2DCF" w:rsidRPr="00DF5B4A" w:rsidRDefault="006F2DCF" w:rsidP="00C014EC">
            <w:pPr>
              <w:keepNext/>
              <w:keepLines/>
              <w:jc w:val="center"/>
              <w:rPr>
                <w:rFonts w:ascii="Arial" w:hAnsi="Arial" w:cs="Arial"/>
                <w:color w:val="000000"/>
                <w:sz w:val="16"/>
                <w:szCs w:val="16"/>
              </w:rPr>
            </w:pPr>
            <w:r w:rsidRPr="00DF5B4A">
              <w:rPr>
                <w:rFonts w:ascii="Arial" w:hAnsi="Arial" w:cs="Arial"/>
                <w:color w:val="000000"/>
                <w:sz w:val="16"/>
                <w:szCs w:val="16"/>
              </w:rPr>
              <w:t>Total</w:t>
            </w:r>
          </w:p>
        </w:tc>
        <w:tc>
          <w:tcPr>
            <w:tcW w:w="1440" w:type="dxa"/>
            <w:tcBorders>
              <w:top w:val="single" w:sz="4" w:space="0" w:color="7F7F7F"/>
              <w:bottom w:val="single" w:sz="4" w:space="0" w:color="7F7F7F"/>
            </w:tcBorders>
            <w:shd w:val="clear" w:color="auto" w:fill="F2F2F2"/>
            <w:vAlign w:val="center"/>
          </w:tcPr>
          <w:p w14:paraId="2238F8CD" w14:textId="77777777" w:rsidR="006F2DCF" w:rsidRPr="00DF5B4A" w:rsidRDefault="006F2DCF" w:rsidP="00C014EC">
            <w:pPr>
              <w:keepNext/>
              <w:keepLines/>
              <w:ind w:left="1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DF5B4A">
              <w:rPr>
                <w:rFonts w:ascii="Arial" w:hAnsi="Arial" w:cs="Arial"/>
                <w:b/>
                <w:bCs/>
                <w:color w:val="000000"/>
                <w:sz w:val="16"/>
                <w:szCs w:val="16"/>
              </w:rPr>
              <w:t>$3</w:t>
            </w:r>
            <w:r>
              <w:rPr>
                <w:rFonts w:ascii="Arial" w:hAnsi="Arial" w:cs="Arial"/>
                <w:b/>
                <w:bCs/>
                <w:color w:val="000000"/>
                <w:sz w:val="16"/>
                <w:szCs w:val="16"/>
              </w:rPr>
              <w:t>5</w:t>
            </w:r>
            <w:r w:rsidRPr="00DF5B4A">
              <w:rPr>
                <w:rFonts w:ascii="Arial" w:hAnsi="Arial" w:cs="Arial"/>
                <w:b/>
                <w:bCs/>
                <w:color w:val="000000"/>
                <w:sz w:val="16"/>
                <w:szCs w:val="16"/>
              </w:rPr>
              <w:t>.</w:t>
            </w:r>
            <w:r>
              <w:rPr>
                <w:rFonts w:ascii="Arial" w:hAnsi="Arial" w:cs="Arial"/>
                <w:b/>
                <w:bCs/>
                <w:color w:val="000000"/>
                <w:sz w:val="16"/>
                <w:szCs w:val="16"/>
              </w:rPr>
              <w:t>695</w:t>
            </w:r>
            <w:r w:rsidRPr="00DF5B4A">
              <w:rPr>
                <w:rFonts w:ascii="Arial" w:hAnsi="Arial" w:cs="Arial"/>
                <w:b/>
                <w:bCs/>
                <w:color w:val="000000"/>
                <w:sz w:val="16"/>
                <w:szCs w:val="16"/>
              </w:rPr>
              <w:t>.000</w:t>
            </w:r>
          </w:p>
        </w:tc>
        <w:tc>
          <w:tcPr>
            <w:tcW w:w="1440" w:type="dxa"/>
            <w:tcBorders>
              <w:top w:val="single" w:sz="4" w:space="0" w:color="7F7F7F"/>
              <w:bottom w:val="single" w:sz="4" w:space="0" w:color="7F7F7F"/>
            </w:tcBorders>
            <w:shd w:val="clear" w:color="auto" w:fill="F2F2F2"/>
            <w:vAlign w:val="center"/>
          </w:tcPr>
          <w:p w14:paraId="7EAD9195" w14:textId="77777777" w:rsidR="006F2DCF" w:rsidRPr="00DF5B4A" w:rsidRDefault="006F2DCF" w:rsidP="00C014EC">
            <w:pPr>
              <w:keepNext/>
              <w:keepLines/>
              <w:ind w:firstLine="1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DF5B4A">
              <w:rPr>
                <w:rFonts w:ascii="Arial" w:hAnsi="Arial" w:cs="Arial"/>
                <w:b/>
                <w:bCs/>
                <w:color w:val="000000"/>
                <w:sz w:val="16"/>
                <w:szCs w:val="16"/>
              </w:rPr>
              <w:t>$9.100.000</w:t>
            </w:r>
          </w:p>
        </w:tc>
        <w:tc>
          <w:tcPr>
            <w:tcW w:w="1440" w:type="dxa"/>
            <w:tcBorders>
              <w:top w:val="single" w:sz="4" w:space="0" w:color="7F7F7F"/>
              <w:bottom w:val="single" w:sz="4" w:space="0" w:color="7F7F7F"/>
            </w:tcBorders>
            <w:shd w:val="clear" w:color="auto" w:fill="F2F2F2"/>
            <w:vAlign w:val="center"/>
          </w:tcPr>
          <w:p w14:paraId="63B6FB69" w14:textId="67C7A6F0" w:rsidR="006F2DCF" w:rsidRPr="00DF5B4A" w:rsidRDefault="006F2DCF" w:rsidP="00C014EC">
            <w:pPr>
              <w:keepNext/>
              <w:keepLines/>
              <w:ind w:left="19" w:hanging="1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DF5B4A">
              <w:rPr>
                <w:rFonts w:ascii="Arial" w:hAnsi="Arial" w:cs="Arial"/>
                <w:b/>
                <w:bCs/>
                <w:color w:val="000000"/>
                <w:sz w:val="16"/>
                <w:szCs w:val="16"/>
              </w:rPr>
              <w:t>$</w:t>
            </w:r>
            <w:r w:rsidR="00C54EE8">
              <w:rPr>
                <w:rFonts w:ascii="Arial" w:hAnsi="Arial" w:cs="Arial"/>
                <w:b/>
                <w:bCs/>
                <w:color w:val="000000"/>
                <w:sz w:val="16"/>
                <w:szCs w:val="16"/>
              </w:rPr>
              <w:t>43.350.000</w:t>
            </w:r>
          </w:p>
        </w:tc>
        <w:tc>
          <w:tcPr>
            <w:tcW w:w="720" w:type="dxa"/>
            <w:tcBorders>
              <w:top w:val="single" w:sz="4" w:space="0" w:color="7F7F7F"/>
              <w:bottom w:val="single" w:sz="4" w:space="0" w:color="7F7F7F"/>
            </w:tcBorders>
            <w:shd w:val="clear" w:color="auto" w:fill="F2F2F2"/>
            <w:vAlign w:val="center"/>
          </w:tcPr>
          <w:p w14:paraId="7DD7D5C4" w14:textId="77777777" w:rsidR="006F2DCF" w:rsidRPr="00DF5B4A" w:rsidRDefault="006F2DCF" w:rsidP="00C014EC">
            <w:pPr>
              <w:keepNext/>
              <w:keepLines/>
              <w:ind w:left="-119" w:right="-149"/>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DF5B4A">
              <w:rPr>
                <w:rFonts w:ascii="Arial" w:hAnsi="Arial" w:cs="Arial"/>
                <w:b/>
                <w:bCs/>
                <w:color w:val="000000"/>
                <w:sz w:val="16"/>
                <w:szCs w:val="16"/>
              </w:rPr>
              <w:t>100</w:t>
            </w:r>
          </w:p>
        </w:tc>
      </w:tr>
    </w:tbl>
    <w:p w14:paraId="2D521C6C" w14:textId="77777777" w:rsidR="00804C67" w:rsidRPr="00210A53" w:rsidRDefault="00804C67" w:rsidP="000A586A">
      <w:pPr>
        <w:rPr>
          <w:rFonts w:ascii="Arial" w:hAnsi="Arial" w:cs="Arial"/>
          <w:sz w:val="18"/>
          <w:szCs w:val="18"/>
        </w:rPr>
      </w:pPr>
    </w:p>
    <w:p w14:paraId="765DDAD6" w14:textId="36872793" w:rsidR="00EA0184" w:rsidRPr="00210A53" w:rsidRDefault="00804C67" w:rsidP="00804C67">
      <w:pPr>
        <w:jc w:val="center"/>
        <w:rPr>
          <w:rFonts w:ascii="Arial" w:hAnsi="Arial" w:cs="Arial"/>
          <w:szCs w:val="22"/>
        </w:rPr>
      </w:pPr>
      <w:r w:rsidRPr="00210A53">
        <w:rPr>
          <w:rFonts w:ascii="Arial" w:hAnsi="Arial" w:cs="Arial"/>
          <w:sz w:val="18"/>
          <w:szCs w:val="18"/>
        </w:rPr>
        <w:t>Fuente: elaboración propia.</w:t>
      </w:r>
    </w:p>
    <w:p w14:paraId="02964FDA" w14:textId="77777777" w:rsidR="00804C67" w:rsidRPr="00210A53" w:rsidRDefault="00804C67" w:rsidP="000A586A">
      <w:pPr>
        <w:rPr>
          <w:rFonts w:ascii="Arial" w:hAnsi="Arial" w:cs="Arial"/>
          <w:szCs w:val="22"/>
        </w:rPr>
      </w:pPr>
    </w:p>
    <w:p w14:paraId="2520A2A7" w14:textId="554E85A7" w:rsidR="00015AFD" w:rsidRPr="00210A53" w:rsidRDefault="008242ED" w:rsidP="00216A0C">
      <w:pPr>
        <w:pStyle w:val="Heading1"/>
        <w:rPr>
          <w:lang w:val="es-419"/>
        </w:rPr>
      </w:pPr>
      <w:bookmarkStart w:id="19" w:name="_Toc513465011"/>
      <w:bookmarkStart w:id="20" w:name="_Toc100512099"/>
      <w:r w:rsidRPr="00210A53">
        <w:rPr>
          <w:lang w:val="es-419"/>
        </w:rPr>
        <w:t>I</w:t>
      </w:r>
      <w:r w:rsidR="002356B7" w:rsidRPr="00210A53">
        <w:rPr>
          <w:lang w:val="es-419"/>
        </w:rPr>
        <w:t xml:space="preserve">I. </w:t>
      </w:r>
      <w:r w:rsidR="008C30C9" w:rsidRPr="00210A53">
        <w:rPr>
          <w:lang w:val="es-419"/>
        </w:rPr>
        <w:tab/>
      </w:r>
      <w:r w:rsidR="00BB436F" w:rsidRPr="00210A53">
        <w:rPr>
          <w:lang w:val="es-419"/>
        </w:rPr>
        <w:t>A</w:t>
      </w:r>
      <w:r w:rsidR="00D3685E" w:rsidRPr="00210A53">
        <w:rPr>
          <w:lang w:val="es-419"/>
        </w:rPr>
        <w:t>n</w:t>
      </w:r>
      <w:r w:rsidR="00D3685E" w:rsidRPr="00210A53">
        <w:rPr>
          <w:rFonts w:eastAsia="Calibri"/>
          <w:lang w:val="es-419"/>
        </w:rPr>
        <w:t>álisis</w:t>
      </w:r>
      <w:r w:rsidR="00D3685E" w:rsidRPr="00210A53">
        <w:rPr>
          <w:lang w:val="es-419"/>
        </w:rPr>
        <w:t xml:space="preserve"> </w:t>
      </w:r>
      <w:r w:rsidR="00D3685E" w:rsidRPr="00210A53">
        <w:rPr>
          <w:rFonts w:eastAsia="Calibri"/>
          <w:lang w:val="es-419"/>
        </w:rPr>
        <w:t>económico</w:t>
      </w:r>
      <w:bookmarkEnd w:id="18"/>
      <w:bookmarkEnd w:id="19"/>
      <w:bookmarkEnd w:id="20"/>
    </w:p>
    <w:p w14:paraId="50C4FF1C" w14:textId="05B9A5CC" w:rsidR="00CF0BC5" w:rsidRPr="00210A53" w:rsidRDefault="001E57DE" w:rsidP="001025F1">
      <w:pPr>
        <w:pStyle w:val="ColorfulList-Accent11"/>
        <w:spacing w:before="120" w:after="100" w:afterAutospacing="1" w:line="240" w:lineRule="auto"/>
        <w:ind w:left="0"/>
        <w:jc w:val="both"/>
        <w:rPr>
          <w:rFonts w:cs="Arial"/>
        </w:rPr>
      </w:pPr>
      <w:r w:rsidRPr="00210A53">
        <w:rPr>
          <w:rFonts w:cs="Arial"/>
        </w:rPr>
        <w:t xml:space="preserve">El enfoque del análisis económico </w:t>
      </w:r>
      <w:r w:rsidR="009E2637" w:rsidRPr="00210A53">
        <w:rPr>
          <w:rFonts w:cs="Arial"/>
        </w:rPr>
        <w:t>que se desarrolla en este documento está dividido en dos partes. La primera</w:t>
      </w:r>
      <w:r w:rsidR="00283937" w:rsidRPr="00210A53">
        <w:rPr>
          <w:rFonts w:cs="Arial"/>
        </w:rPr>
        <w:t xml:space="preserve">, utiliza </w:t>
      </w:r>
      <w:r w:rsidRPr="00210A53">
        <w:rPr>
          <w:rFonts w:cs="Arial"/>
        </w:rPr>
        <w:t>los Años de Vida Ajustados por Discapacidad (</w:t>
      </w:r>
      <w:proofErr w:type="spellStart"/>
      <w:r w:rsidRPr="00210A53">
        <w:rPr>
          <w:rFonts w:cs="Arial"/>
        </w:rPr>
        <w:t>AVADs</w:t>
      </w:r>
      <w:proofErr w:type="spellEnd"/>
      <w:r w:rsidRPr="00210A53">
        <w:rPr>
          <w:rFonts w:cs="Arial"/>
        </w:rPr>
        <w:t xml:space="preserve">) </w:t>
      </w:r>
      <w:r w:rsidR="00FD4574" w:rsidRPr="00210A53">
        <w:rPr>
          <w:rFonts w:cs="Arial"/>
        </w:rPr>
        <w:t>para</w:t>
      </w:r>
      <w:r w:rsidR="004A6A27" w:rsidRPr="00210A53">
        <w:rPr>
          <w:rFonts w:cs="Arial"/>
        </w:rPr>
        <w:t xml:space="preserve"> </w:t>
      </w:r>
      <w:r w:rsidRPr="00210A53">
        <w:rPr>
          <w:rFonts w:cs="Arial"/>
        </w:rPr>
        <w:t xml:space="preserve">cuantificar los beneficios que se obtienen de la implementación de líneas de atención de salud y convierte dichos beneficios expresados en años productivos en beneficios económicos multiplicando los </w:t>
      </w:r>
      <w:proofErr w:type="spellStart"/>
      <w:r w:rsidRPr="00210A53">
        <w:rPr>
          <w:rFonts w:cs="Arial"/>
        </w:rPr>
        <w:t>AVADs</w:t>
      </w:r>
      <w:proofErr w:type="spellEnd"/>
      <w:r w:rsidRPr="00210A53">
        <w:rPr>
          <w:rFonts w:cs="Arial"/>
        </w:rPr>
        <w:t xml:space="preserve"> obtenidos por el producto interno bruto</w:t>
      </w:r>
      <w:r w:rsidR="008E2A4E" w:rsidRPr="00210A53">
        <w:rPr>
          <w:rFonts w:cs="Arial"/>
        </w:rPr>
        <w:t xml:space="preserve"> per cápita</w:t>
      </w:r>
      <w:r w:rsidRPr="00210A53">
        <w:rPr>
          <w:rFonts w:cs="Arial"/>
        </w:rPr>
        <w:t xml:space="preserve"> de la población beneficiada.</w:t>
      </w:r>
      <w:r w:rsidR="008E2A4E" w:rsidRPr="00210A53">
        <w:rPr>
          <w:rFonts w:cs="Arial"/>
        </w:rPr>
        <w:t xml:space="preserve"> </w:t>
      </w:r>
      <w:r w:rsidR="00DB1D7B" w:rsidRPr="00210A53">
        <w:rPr>
          <w:rFonts w:cs="Arial"/>
        </w:rPr>
        <w:t>La</w:t>
      </w:r>
      <w:r w:rsidR="00876718">
        <w:rPr>
          <w:rFonts w:cs="Arial"/>
        </w:rPr>
        <w:t> </w:t>
      </w:r>
      <w:r w:rsidR="00DB1D7B" w:rsidRPr="00210A53">
        <w:rPr>
          <w:rFonts w:cs="Arial"/>
        </w:rPr>
        <w:t xml:space="preserve">segunda parte, utiliza </w:t>
      </w:r>
      <w:r w:rsidR="00AF5E51">
        <w:rPr>
          <w:rFonts w:cs="Arial"/>
        </w:rPr>
        <w:t>el ahorro en el</w:t>
      </w:r>
      <w:r w:rsidR="00DB1D7B" w:rsidRPr="00210A53">
        <w:rPr>
          <w:rFonts w:cs="Arial"/>
        </w:rPr>
        <w:t xml:space="preserve"> </w:t>
      </w:r>
      <w:r w:rsidR="00AF5E51" w:rsidRPr="00152D5A">
        <w:rPr>
          <w:rFonts w:eastAsia="Calibri" w:cs="Arial"/>
        </w:rPr>
        <w:t>número de imágenes diagnósticas repetidas, en el número de admisiones en el hospital y en el número de días que los pacientes permanecen en los hospitales</w:t>
      </w:r>
      <w:r w:rsidR="00AF5E51">
        <w:rPr>
          <w:rFonts w:eastAsia="Calibri" w:cs="Arial"/>
        </w:rPr>
        <w:t xml:space="preserve"> para</w:t>
      </w:r>
      <w:r w:rsidR="00DB1D7B" w:rsidRPr="00210A53">
        <w:rPr>
          <w:rFonts w:cs="Arial"/>
        </w:rPr>
        <w:t xml:space="preserve"> cuantificar los beneficios que se obtienen </w:t>
      </w:r>
      <w:r w:rsidR="00AF5E51">
        <w:rPr>
          <w:rFonts w:cs="Arial"/>
        </w:rPr>
        <w:t>al</w:t>
      </w:r>
      <w:r w:rsidR="00DB1D7B" w:rsidRPr="00210A53">
        <w:rPr>
          <w:rFonts w:cs="Arial"/>
        </w:rPr>
        <w:t xml:space="preserve"> </w:t>
      </w:r>
      <w:r w:rsidR="00AF5E51">
        <w:rPr>
          <w:rFonts w:cs="Arial"/>
        </w:rPr>
        <w:t>fortalecer y utilizar nuevas tecnologías en salud</w:t>
      </w:r>
      <w:r w:rsidR="00DB1D7B" w:rsidRPr="00210A53">
        <w:rPr>
          <w:rFonts w:cs="Arial"/>
        </w:rPr>
        <w:t xml:space="preserve">. </w:t>
      </w:r>
      <w:r w:rsidR="008E2A4E" w:rsidRPr="00210A53">
        <w:rPr>
          <w:rFonts w:cs="Arial"/>
        </w:rPr>
        <w:t xml:space="preserve">El supuesto </w:t>
      </w:r>
      <w:r w:rsidR="00DB1D7B" w:rsidRPr="00210A53">
        <w:rPr>
          <w:rFonts w:cs="Arial"/>
        </w:rPr>
        <w:t xml:space="preserve">general </w:t>
      </w:r>
      <w:r w:rsidR="008E2A4E" w:rsidRPr="00210A53">
        <w:rPr>
          <w:rFonts w:cs="Arial"/>
        </w:rPr>
        <w:t xml:space="preserve">es que con una población más saludable se obtiene mayor productividad. </w:t>
      </w:r>
      <w:r w:rsidR="00B57D0D" w:rsidRPr="00210A53">
        <w:rPr>
          <w:rFonts w:cs="Arial"/>
        </w:rPr>
        <w:t>E</w:t>
      </w:r>
      <w:r w:rsidR="00AA055C" w:rsidRPr="00210A53">
        <w:rPr>
          <w:rFonts w:cs="Arial"/>
        </w:rPr>
        <w:t>l primer</w:t>
      </w:r>
      <w:r w:rsidR="00B57D0D" w:rsidRPr="00210A53">
        <w:rPr>
          <w:rFonts w:cs="Arial"/>
        </w:rPr>
        <w:t xml:space="preserve"> enfoque para realizar el análisis económico de programas de salud ha sido utilizado anteriormente para analizar la relación costo beneficio de varios </w:t>
      </w:r>
      <w:r w:rsidR="00FA0D82" w:rsidRPr="00210A53">
        <w:rPr>
          <w:rFonts w:cs="Arial"/>
        </w:rPr>
        <w:t>programas</w:t>
      </w:r>
      <w:r w:rsidR="00B57D0D" w:rsidRPr="00210A53">
        <w:rPr>
          <w:rFonts w:cs="Arial"/>
        </w:rPr>
        <w:t xml:space="preserve"> financiados por el Banco en Brasil incluyendo </w:t>
      </w:r>
      <w:r w:rsidR="008D21B1" w:rsidRPr="00210A53">
        <w:rPr>
          <w:rFonts w:cs="Arial"/>
        </w:rPr>
        <w:t xml:space="preserve">BR-L1518 en Paraíba, </w:t>
      </w:r>
      <w:r w:rsidR="00B57D0D" w:rsidRPr="00210A53">
        <w:rPr>
          <w:rFonts w:cs="Arial"/>
        </w:rPr>
        <w:t>BR</w:t>
      </w:r>
      <w:r w:rsidR="00B57D0D" w:rsidRPr="00210A53">
        <w:rPr>
          <w:rFonts w:cs="Arial"/>
        </w:rPr>
        <w:noBreakHyphen/>
        <w:t>L1429 en São Paulo</w:t>
      </w:r>
      <w:r w:rsidR="003441A0">
        <w:rPr>
          <w:rFonts w:cs="Arial"/>
        </w:rPr>
        <w:t xml:space="preserve">, </w:t>
      </w:r>
      <w:r w:rsidR="00B57D0D" w:rsidRPr="00210A53">
        <w:rPr>
          <w:rFonts w:cs="Arial"/>
        </w:rPr>
        <w:t>BR-L1408 en Ceará</w:t>
      </w:r>
      <w:r w:rsidR="003441A0">
        <w:rPr>
          <w:rFonts w:cs="Arial"/>
        </w:rPr>
        <w:t xml:space="preserve"> y BR-L1568 en el Municipio de Santo André</w:t>
      </w:r>
      <w:r w:rsidR="00ED5DF6" w:rsidRPr="00210A53">
        <w:rPr>
          <w:rFonts w:cs="Arial"/>
        </w:rPr>
        <w:t xml:space="preserve">. </w:t>
      </w:r>
      <w:r w:rsidR="008E2A4E" w:rsidRPr="00210A53">
        <w:rPr>
          <w:rFonts w:cs="Arial"/>
        </w:rPr>
        <w:t>Una de sus ventajas es que permite cuantificar los beneficios de programas que incluyen varias intervenciones que fort</w:t>
      </w:r>
      <w:r w:rsidR="007F36CE" w:rsidRPr="00210A53">
        <w:rPr>
          <w:rFonts w:cs="Arial"/>
        </w:rPr>
        <w:t>alecen a una red de atención en</w:t>
      </w:r>
      <w:r w:rsidR="008E2A4E" w:rsidRPr="00210A53">
        <w:rPr>
          <w:rFonts w:cs="Arial"/>
        </w:rPr>
        <w:t xml:space="preserve"> salud. </w:t>
      </w:r>
    </w:p>
    <w:p w14:paraId="15EFC101" w14:textId="77777777" w:rsidR="00CF0BC5" w:rsidRPr="00210A53" w:rsidRDefault="00CF0BC5" w:rsidP="001025F1">
      <w:pPr>
        <w:pStyle w:val="ColorfulList-Accent11"/>
        <w:spacing w:before="120" w:after="100" w:afterAutospacing="1" w:line="240" w:lineRule="auto"/>
        <w:ind w:left="0"/>
        <w:jc w:val="both"/>
        <w:rPr>
          <w:rFonts w:cs="Arial"/>
        </w:rPr>
      </w:pPr>
    </w:p>
    <w:p w14:paraId="7E39ED8F" w14:textId="6B223999" w:rsidR="00137E91" w:rsidRPr="00210A53" w:rsidRDefault="5DFAA6BD" w:rsidP="027F12FB">
      <w:pPr>
        <w:pStyle w:val="ColorfulList-Accent11"/>
        <w:spacing w:before="120" w:after="100" w:afterAutospacing="1" w:line="240" w:lineRule="auto"/>
        <w:ind w:left="0"/>
        <w:jc w:val="both"/>
        <w:rPr>
          <w:rFonts w:cs="Arial"/>
        </w:rPr>
      </w:pPr>
      <w:r w:rsidRPr="027F12FB">
        <w:rPr>
          <w:rFonts w:cs="Arial"/>
        </w:rPr>
        <w:t xml:space="preserve">El </w:t>
      </w:r>
      <w:r w:rsidR="2EC5E388" w:rsidRPr="027F12FB">
        <w:rPr>
          <w:rFonts w:cs="Arial"/>
        </w:rPr>
        <w:t xml:space="preserve">programa </w:t>
      </w:r>
      <w:r w:rsidR="341ACB92" w:rsidRPr="027F12FB">
        <w:rPr>
          <w:rFonts w:cs="Arial"/>
        </w:rPr>
        <w:t xml:space="preserve">tiene el </w:t>
      </w:r>
      <w:r w:rsidR="466743E4" w:rsidRPr="027F12FB">
        <w:rPr>
          <w:rFonts w:cs="Arial"/>
        </w:rPr>
        <w:t xml:space="preserve">objetivo de </w:t>
      </w:r>
      <w:r w:rsidR="2EC5E388" w:rsidRPr="027F12FB">
        <w:rPr>
          <w:rFonts w:cs="Arial"/>
        </w:rPr>
        <w:t xml:space="preserve">contribuir a mejorar las condiciones de </w:t>
      </w:r>
      <w:r w:rsidR="3B0BDE11" w:rsidRPr="027F12FB">
        <w:rPr>
          <w:rFonts w:cs="Arial"/>
        </w:rPr>
        <w:t xml:space="preserve">atención </w:t>
      </w:r>
      <w:r w:rsidR="2EC5E388" w:rsidRPr="027F12FB">
        <w:rPr>
          <w:rFonts w:cs="Arial"/>
        </w:rPr>
        <w:t>de la población de</w:t>
      </w:r>
      <w:r w:rsidR="3B0BDE11" w:rsidRPr="027F12FB">
        <w:rPr>
          <w:rFonts w:cs="Arial"/>
        </w:rPr>
        <w:t xml:space="preserve">l </w:t>
      </w:r>
      <w:r w:rsidR="6336D947" w:rsidRPr="027F12FB">
        <w:rPr>
          <w:rFonts w:cs="Arial"/>
        </w:rPr>
        <w:t>ESE</w:t>
      </w:r>
      <w:r w:rsidR="2EC5E388" w:rsidRPr="027F12FB">
        <w:rPr>
          <w:rFonts w:cs="Arial"/>
        </w:rPr>
        <w:t xml:space="preserve"> por medio de </w:t>
      </w:r>
      <w:r w:rsidR="3B0BDE11" w:rsidRPr="027F12FB">
        <w:rPr>
          <w:rFonts w:cs="Arial"/>
        </w:rPr>
        <w:t>inversión en infraestructuras, innovación tecnológica, formación de profesionales y reestructuración de la red asistencial</w:t>
      </w:r>
      <w:r w:rsidR="2EC5E388" w:rsidRPr="027F12FB">
        <w:rPr>
          <w:rFonts w:cs="Arial"/>
        </w:rPr>
        <w:t xml:space="preserve">. </w:t>
      </w:r>
      <w:r w:rsidR="341ACB92" w:rsidRPr="027F12FB">
        <w:rPr>
          <w:rFonts w:cs="Arial"/>
        </w:rPr>
        <w:t xml:space="preserve">Los beneficios cuantificados en este documento provienen </w:t>
      </w:r>
      <w:r w:rsidR="2EC5E388" w:rsidRPr="027F12FB">
        <w:rPr>
          <w:rFonts w:cs="Arial"/>
        </w:rPr>
        <w:t>de la disminución en la mortalidad y la morbilidad</w:t>
      </w:r>
      <w:r w:rsidR="59016C7E" w:rsidRPr="027F12FB">
        <w:rPr>
          <w:rFonts w:cs="Arial"/>
        </w:rPr>
        <w:t>,</w:t>
      </w:r>
      <w:r w:rsidR="2EC5E388" w:rsidRPr="027F12FB">
        <w:rPr>
          <w:rFonts w:cs="Arial"/>
        </w:rPr>
        <w:t xml:space="preserve"> resultado de una mayor cobertura y calidad de los servicios de</w:t>
      </w:r>
      <w:r w:rsidR="31080382" w:rsidRPr="027F12FB">
        <w:rPr>
          <w:rFonts w:cs="Arial"/>
        </w:rPr>
        <w:t xml:space="preserve"> hospitalidad para la maternidad de alto riesgo, el Hospital Infantil, Hospital Oncológico, el Laboratorio Central de Salud Pública (LACEN) y el Centro de Atención Diagnóstica por Imagen (CADI); del fortalecimiento de la gestión y calidad del sistema de salud; y de la gestión de información y el uso de nuevas tecnologías en salud. </w:t>
      </w:r>
      <w:r w:rsidR="2EC5E388" w:rsidRPr="027F12FB">
        <w:rPr>
          <w:rFonts w:cs="Arial"/>
        </w:rPr>
        <w:t xml:space="preserve">Existe evidencia documentada para Brasil que muestra que el fortalecimiento del modelo de atención basado en redes de atención en salud ha tenido muy buenos resultados para reducir la mortalidad y para reducir las hospitalizaciones prevenibles y mejorar la gestión de las redes de salud (ver Guanais y </w:t>
      </w:r>
      <w:proofErr w:type="spellStart"/>
      <w:r w:rsidR="2EC5E388" w:rsidRPr="027F12FB">
        <w:rPr>
          <w:rFonts w:cs="Arial"/>
        </w:rPr>
        <w:t>Macinko</w:t>
      </w:r>
      <w:proofErr w:type="spellEnd"/>
      <w:r w:rsidR="2EC5E388" w:rsidRPr="027F12FB">
        <w:rPr>
          <w:rFonts w:cs="Arial"/>
        </w:rPr>
        <w:t xml:space="preserve">; </w:t>
      </w:r>
      <w:proofErr w:type="spellStart"/>
      <w:r w:rsidR="2EC5E388" w:rsidRPr="027F12FB">
        <w:rPr>
          <w:rFonts w:cs="Arial"/>
        </w:rPr>
        <w:t>Macinko</w:t>
      </w:r>
      <w:proofErr w:type="spellEnd"/>
      <w:r w:rsidR="2EC5E388" w:rsidRPr="027F12FB">
        <w:rPr>
          <w:rFonts w:cs="Arial"/>
        </w:rPr>
        <w:t xml:space="preserve"> y Harris 2015; </w:t>
      </w:r>
      <w:proofErr w:type="spellStart"/>
      <w:r w:rsidR="2EC5E388" w:rsidRPr="027F12FB">
        <w:rPr>
          <w:rFonts w:cs="Arial"/>
        </w:rPr>
        <w:t>Macinko</w:t>
      </w:r>
      <w:proofErr w:type="spellEnd"/>
      <w:r w:rsidR="2EC5E388" w:rsidRPr="027F12FB">
        <w:rPr>
          <w:rFonts w:cs="Arial"/>
        </w:rPr>
        <w:t xml:space="preserve"> et al. 2011). </w:t>
      </w:r>
      <w:r w:rsidR="6336D947" w:rsidRPr="027F12FB">
        <w:rPr>
          <w:rFonts w:cs="Arial"/>
        </w:rPr>
        <w:t>A continuación</w:t>
      </w:r>
      <w:r w:rsidR="31080382" w:rsidRPr="027F12FB">
        <w:rPr>
          <w:rFonts w:cs="Arial"/>
        </w:rPr>
        <w:t>,</w:t>
      </w:r>
      <w:r w:rsidR="6336D947" w:rsidRPr="027F12FB">
        <w:rPr>
          <w:rFonts w:cs="Arial"/>
        </w:rPr>
        <w:t xml:space="preserve"> se presente</w:t>
      </w:r>
      <w:r w:rsidR="2EC5E388" w:rsidRPr="027F12FB">
        <w:rPr>
          <w:rFonts w:cs="Arial"/>
        </w:rPr>
        <w:t xml:space="preserve"> una breve </w:t>
      </w:r>
      <w:r w:rsidR="2EC5E388" w:rsidRPr="027F12FB">
        <w:rPr>
          <w:rFonts w:cs="Arial"/>
        </w:rPr>
        <w:lastRenderedPageBreak/>
        <w:t xml:space="preserve">explicación de los </w:t>
      </w:r>
      <w:proofErr w:type="spellStart"/>
      <w:r w:rsidR="2EC5E388" w:rsidRPr="027F12FB">
        <w:rPr>
          <w:rFonts w:cs="Arial"/>
        </w:rPr>
        <w:t>AVADs</w:t>
      </w:r>
      <w:proofErr w:type="spellEnd"/>
      <w:r w:rsidR="5F5CCE09" w:rsidRPr="027F12FB">
        <w:rPr>
          <w:rFonts w:cs="Arial"/>
        </w:rPr>
        <w:t xml:space="preserve">, descripción del cálculo de </w:t>
      </w:r>
      <w:r w:rsidR="6336D947" w:rsidRPr="027F12FB">
        <w:rPr>
          <w:rFonts w:cs="Arial"/>
        </w:rPr>
        <w:t>ahorro en imágenes diagnóstica y hospitalizaciones</w:t>
      </w:r>
      <w:r w:rsidR="2EC5E388" w:rsidRPr="027F12FB">
        <w:rPr>
          <w:rFonts w:cs="Arial"/>
        </w:rPr>
        <w:t xml:space="preserve"> y después desarrolla la aplicación de la metodología</w:t>
      </w:r>
      <w:r w:rsidR="23E69E78" w:rsidRPr="027F12FB">
        <w:rPr>
          <w:rFonts w:cs="Arial"/>
        </w:rPr>
        <w:t xml:space="preserve"> para evaluar los beneficios del programa. </w:t>
      </w:r>
    </w:p>
    <w:p w14:paraId="470341FB" w14:textId="3C06DDB4" w:rsidR="00137E91" w:rsidRPr="00210A53" w:rsidRDefault="00137E91" w:rsidP="00993C0D">
      <w:pPr>
        <w:pStyle w:val="Heading2"/>
        <w:rPr>
          <w:rFonts w:cs="Arial"/>
        </w:rPr>
      </w:pPr>
      <w:bookmarkStart w:id="21" w:name="_Toc100512100"/>
      <w:r w:rsidRPr="00210A53">
        <w:rPr>
          <w:rFonts w:cs="Arial"/>
        </w:rPr>
        <w:t>A. Metodología</w:t>
      </w:r>
      <w:bookmarkEnd w:id="21"/>
      <w:r w:rsidRPr="00210A53">
        <w:rPr>
          <w:rFonts w:cs="Arial"/>
        </w:rPr>
        <w:t xml:space="preserve"> </w:t>
      </w:r>
    </w:p>
    <w:p w14:paraId="68BC3BA3" w14:textId="6F0F1483" w:rsidR="00FA34E2" w:rsidRPr="00210A53" w:rsidRDefault="00FA34E2" w:rsidP="00993C0D">
      <w:pPr>
        <w:pStyle w:val="Heading3"/>
        <w:numPr>
          <w:ilvl w:val="0"/>
          <w:numId w:val="0"/>
        </w:numPr>
        <w:rPr>
          <w:rFonts w:ascii="Arial" w:hAnsi="Arial" w:cs="Arial"/>
          <w:color w:val="auto"/>
        </w:rPr>
      </w:pPr>
      <w:bookmarkStart w:id="22" w:name="_Toc296257187"/>
      <w:bookmarkStart w:id="23" w:name="_Toc513465012"/>
      <w:bookmarkStart w:id="24" w:name="_Toc100512101"/>
      <w:r w:rsidRPr="00210A53">
        <w:rPr>
          <w:rFonts w:ascii="Arial" w:hAnsi="Arial" w:cs="Arial"/>
          <w:color w:val="auto"/>
        </w:rPr>
        <w:t>Medida de efectividad</w:t>
      </w:r>
      <w:r w:rsidR="00472B16" w:rsidRPr="00210A53">
        <w:rPr>
          <w:rFonts w:ascii="Arial" w:hAnsi="Arial" w:cs="Arial"/>
          <w:color w:val="auto"/>
        </w:rPr>
        <w:t xml:space="preserve"> </w:t>
      </w:r>
      <w:r w:rsidR="00763381" w:rsidRPr="00210A53">
        <w:rPr>
          <w:rFonts w:ascii="Arial" w:hAnsi="Arial" w:cs="Arial"/>
          <w:color w:val="auto"/>
        </w:rPr>
        <w:t>de l</w:t>
      </w:r>
      <w:r w:rsidR="00763381" w:rsidRPr="00210A53">
        <w:rPr>
          <w:rFonts w:ascii="Arial" w:eastAsia="Calibri" w:hAnsi="Arial" w:cs="Arial"/>
          <w:color w:val="auto"/>
        </w:rPr>
        <w:t>íneas</w:t>
      </w:r>
      <w:r w:rsidR="00763381" w:rsidRPr="00210A53">
        <w:rPr>
          <w:rFonts w:ascii="Arial" w:hAnsi="Arial" w:cs="Arial"/>
          <w:color w:val="auto"/>
        </w:rPr>
        <w:t xml:space="preserve"> </w:t>
      </w:r>
      <w:r w:rsidR="00763381" w:rsidRPr="00210A53">
        <w:rPr>
          <w:rFonts w:ascii="Arial" w:eastAsia="Calibri" w:hAnsi="Arial" w:cs="Arial"/>
          <w:color w:val="auto"/>
        </w:rPr>
        <w:t>de</w:t>
      </w:r>
      <w:r w:rsidR="00763381" w:rsidRPr="00210A53">
        <w:rPr>
          <w:rFonts w:ascii="Arial" w:hAnsi="Arial" w:cs="Arial"/>
          <w:color w:val="auto"/>
        </w:rPr>
        <w:t xml:space="preserve"> </w:t>
      </w:r>
      <w:r w:rsidR="00763381" w:rsidRPr="00210A53">
        <w:rPr>
          <w:rFonts w:ascii="Arial" w:eastAsia="Calibri" w:hAnsi="Arial" w:cs="Arial"/>
          <w:color w:val="auto"/>
        </w:rPr>
        <w:t>atención</w:t>
      </w:r>
      <w:r w:rsidR="00763381" w:rsidRPr="00210A53">
        <w:rPr>
          <w:rFonts w:ascii="Arial" w:hAnsi="Arial" w:cs="Arial"/>
          <w:color w:val="auto"/>
        </w:rPr>
        <w:t xml:space="preserve"> </w:t>
      </w:r>
      <w:r w:rsidR="00763381" w:rsidRPr="00210A53">
        <w:rPr>
          <w:rFonts w:ascii="Arial" w:eastAsia="Calibri" w:hAnsi="Arial" w:cs="Arial"/>
          <w:color w:val="auto"/>
        </w:rPr>
        <w:t>en</w:t>
      </w:r>
      <w:r w:rsidR="003B125E">
        <w:rPr>
          <w:rFonts w:ascii="Arial" w:hAnsi="Arial" w:cs="Arial"/>
          <w:color w:val="auto"/>
        </w:rPr>
        <w:t xml:space="preserve"> </w:t>
      </w:r>
      <w:proofErr w:type="spellStart"/>
      <w:r w:rsidRPr="00210A53">
        <w:rPr>
          <w:rFonts w:ascii="Arial" w:hAnsi="Arial" w:cs="Arial"/>
          <w:color w:val="auto"/>
        </w:rPr>
        <w:t>AVAD</w:t>
      </w:r>
      <w:r w:rsidR="00230803" w:rsidRPr="00210A53">
        <w:rPr>
          <w:rFonts w:ascii="Arial" w:hAnsi="Arial" w:cs="Arial"/>
          <w:color w:val="auto"/>
        </w:rPr>
        <w:t>s</w:t>
      </w:r>
      <w:bookmarkEnd w:id="22"/>
      <w:bookmarkEnd w:id="23"/>
      <w:bookmarkEnd w:id="24"/>
      <w:proofErr w:type="spellEnd"/>
    </w:p>
    <w:p w14:paraId="3E0908DF" w14:textId="756906A8" w:rsidR="00FA34E2" w:rsidRPr="00210A53" w:rsidRDefault="00FA34E2" w:rsidP="00E83BC5">
      <w:pPr>
        <w:pStyle w:val="ColorfulList-Accent11"/>
        <w:spacing w:before="120" w:after="100" w:afterAutospacing="1" w:line="240" w:lineRule="auto"/>
        <w:ind w:left="0"/>
        <w:jc w:val="both"/>
        <w:rPr>
          <w:rFonts w:cs="Arial"/>
        </w:rPr>
      </w:pPr>
      <w:r w:rsidRPr="00210A53">
        <w:rPr>
          <w:rFonts w:cs="Arial"/>
        </w:rPr>
        <w:t>Los</w:t>
      </w:r>
      <w:r w:rsidR="005B08FD" w:rsidRPr="00210A53">
        <w:rPr>
          <w:rFonts w:cs="Arial"/>
        </w:rPr>
        <w:t xml:space="preserve"> </w:t>
      </w:r>
      <w:r w:rsidRPr="00210A53">
        <w:rPr>
          <w:rFonts w:cs="Arial"/>
        </w:rPr>
        <w:t>años de vida ajustados por discapacidad</w:t>
      </w:r>
      <w:r w:rsidR="005B08FD" w:rsidRPr="00210A53">
        <w:rPr>
          <w:rFonts w:cs="Arial"/>
        </w:rPr>
        <w:t xml:space="preserve"> (</w:t>
      </w:r>
      <w:proofErr w:type="spellStart"/>
      <w:r w:rsidR="005B08FD" w:rsidRPr="00210A53">
        <w:rPr>
          <w:rFonts w:cs="Arial"/>
        </w:rPr>
        <w:t>AVAD</w:t>
      </w:r>
      <w:r w:rsidR="007907B9" w:rsidRPr="00210A53">
        <w:rPr>
          <w:rFonts w:cs="Arial"/>
        </w:rPr>
        <w:t>s</w:t>
      </w:r>
      <w:proofErr w:type="spellEnd"/>
      <w:r w:rsidR="007907B9" w:rsidRPr="00210A53">
        <w:rPr>
          <w:rFonts w:cs="Arial"/>
        </w:rPr>
        <w:t xml:space="preserve"> o </w:t>
      </w:r>
      <w:proofErr w:type="spellStart"/>
      <w:r w:rsidR="007907B9" w:rsidRPr="00210A53">
        <w:rPr>
          <w:rFonts w:cs="Arial"/>
        </w:rPr>
        <w:t>DALYs</w:t>
      </w:r>
      <w:proofErr w:type="spellEnd"/>
      <w:r w:rsidR="007907B9" w:rsidRPr="00210A53">
        <w:rPr>
          <w:rFonts w:cs="Arial"/>
        </w:rPr>
        <w:t xml:space="preserve"> por sus siglas en ing</w:t>
      </w:r>
      <w:r w:rsidR="00FF75D2" w:rsidRPr="00210A53">
        <w:rPr>
          <w:rFonts w:cs="Arial"/>
        </w:rPr>
        <w:t>l</w:t>
      </w:r>
      <w:r w:rsidR="007907B9" w:rsidRPr="00210A53">
        <w:rPr>
          <w:rFonts w:cs="Arial"/>
        </w:rPr>
        <w:t>és</w:t>
      </w:r>
      <w:r w:rsidR="005B08FD" w:rsidRPr="00210A53">
        <w:rPr>
          <w:rFonts w:cs="Arial"/>
        </w:rPr>
        <w:t>)</w:t>
      </w:r>
      <w:r w:rsidRPr="00210A53">
        <w:rPr>
          <w:rFonts w:cs="Arial"/>
        </w:rPr>
        <w:t xml:space="preserve"> son un indicador sintético que combina años de vid</w:t>
      </w:r>
      <w:r w:rsidR="00745172" w:rsidRPr="00210A53">
        <w:rPr>
          <w:rFonts w:cs="Arial"/>
        </w:rPr>
        <w:t>a perdidos por muerte prematura</w:t>
      </w:r>
      <w:r w:rsidRPr="00210A53">
        <w:rPr>
          <w:rFonts w:cs="Arial"/>
        </w:rPr>
        <w:t xml:space="preserve"> y </w:t>
      </w:r>
      <w:r w:rsidR="007907B9" w:rsidRPr="00210A53">
        <w:rPr>
          <w:rFonts w:cs="Arial"/>
        </w:rPr>
        <w:t xml:space="preserve">los </w:t>
      </w:r>
      <w:r w:rsidRPr="00210A53">
        <w:rPr>
          <w:rFonts w:cs="Arial"/>
        </w:rPr>
        <w:t>años</w:t>
      </w:r>
      <w:r w:rsidR="007907B9" w:rsidRPr="00210A53">
        <w:rPr>
          <w:rFonts w:cs="Arial"/>
        </w:rPr>
        <w:t xml:space="preserve"> perdidos por </w:t>
      </w:r>
      <w:r w:rsidRPr="00210A53">
        <w:rPr>
          <w:rFonts w:cs="Arial"/>
        </w:rPr>
        <w:t xml:space="preserve">discapacidad </w:t>
      </w:r>
      <w:r w:rsidR="007907B9" w:rsidRPr="00210A53">
        <w:rPr>
          <w:rFonts w:cs="Arial"/>
        </w:rPr>
        <w:t>severa</w:t>
      </w:r>
      <w:r w:rsidRPr="00210A53">
        <w:rPr>
          <w:rFonts w:cs="Arial"/>
        </w:rPr>
        <w:t xml:space="preserve">. </w:t>
      </w:r>
      <w:r w:rsidR="007907B9" w:rsidRPr="00210A53">
        <w:rPr>
          <w:rFonts w:cs="Arial"/>
        </w:rPr>
        <w:t xml:space="preserve">Se espera que las intervenciones </w:t>
      </w:r>
      <w:r w:rsidR="00F94D69" w:rsidRPr="00210A53">
        <w:rPr>
          <w:rFonts w:cs="Arial"/>
        </w:rPr>
        <w:t xml:space="preserve">del programa </w:t>
      </w:r>
      <w:r w:rsidR="007907B9" w:rsidRPr="00210A53">
        <w:rPr>
          <w:rFonts w:cs="Arial"/>
        </w:rPr>
        <w:t xml:space="preserve">contribuyan a una población más saludable y a reducir el número de </w:t>
      </w:r>
      <w:proofErr w:type="spellStart"/>
      <w:r w:rsidR="007907B9" w:rsidRPr="00210A53">
        <w:rPr>
          <w:rFonts w:cs="Arial"/>
        </w:rPr>
        <w:t>AVAD</w:t>
      </w:r>
      <w:r w:rsidR="00340939" w:rsidRPr="00210A53">
        <w:rPr>
          <w:rFonts w:cs="Arial"/>
        </w:rPr>
        <w:t>s</w:t>
      </w:r>
      <w:proofErr w:type="spellEnd"/>
      <w:r w:rsidR="007907B9" w:rsidRPr="00210A53">
        <w:rPr>
          <w:rFonts w:cs="Arial"/>
        </w:rPr>
        <w:t xml:space="preserve"> perdidos. Existe un sólido trabajo académico para medir los impactos de implementar diferentes líneas de atención de salud en una población en términos de </w:t>
      </w:r>
      <w:proofErr w:type="spellStart"/>
      <w:r w:rsidR="007907B9" w:rsidRPr="00210A53">
        <w:rPr>
          <w:rFonts w:cs="Arial"/>
        </w:rPr>
        <w:t>AVADs</w:t>
      </w:r>
      <w:proofErr w:type="spellEnd"/>
      <w:r w:rsidR="007907B9" w:rsidRPr="00210A53">
        <w:rPr>
          <w:rFonts w:cs="Arial"/>
        </w:rPr>
        <w:t xml:space="preserve">. </w:t>
      </w:r>
      <w:r w:rsidRPr="00210A53">
        <w:rPr>
          <w:rFonts w:cs="Arial"/>
        </w:rPr>
        <w:t xml:space="preserve">La primera vez que se utilizó </w:t>
      </w:r>
      <w:r w:rsidR="007907B9" w:rsidRPr="00210A53">
        <w:rPr>
          <w:rFonts w:cs="Arial"/>
        </w:rPr>
        <w:t xml:space="preserve">este enfoque </w:t>
      </w:r>
      <w:r w:rsidRPr="00210A53">
        <w:rPr>
          <w:rFonts w:cs="Arial"/>
        </w:rPr>
        <w:t xml:space="preserve">fue en el Informe de Desarrollo Mundial 1993 del Banco Mundial </w:t>
      </w:r>
      <w:r w:rsidR="0055093D" w:rsidRPr="00210A53">
        <w:rPr>
          <w:rFonts w:cs="Arial"/>
        </w:rPr>
        <w:fldChar w:fldCharType="begin" w:fldLock="1"/>
      </w:r>
      <w:r w:rsidR="0055093D" w:rsidRPr="00210A53">
        <w:rPr>
          <w:rFonts w:cs="Arial"/>
        </w:rPr>
        <w:instrText>ADDIN CSL_CITATION { "citationItems" : [ { "id" : "ITEM-1", "itemData" : { "abstract" : "This is the sixteenth in the annual series and examines the interplay between human health, health policy and economic development. Because good health increases the economic productivity of individuals and the economic growth rate of countries, investing in health is one means of accelerating development. More important, good health is a goal in itself. During the past forty years life expectancy in the developing world has risen and child mortality has decreased, sometimes dramatically. But progress is only one side of the picture. The toll from childhood and tropical diseases remains high even as new problems - including AIDS and the diseases of aging populations - appear on the scene. And all countries are struggling with the problems of controlling health expenditures and making health care accessible to the broad population. This report examines the controversial questions surrounding health care and health policy. Its findings are based in large part on innovative research, including estimation of the global burden of disease and the cost-effectiveness of interventions. These assessments can help in setting priorities for health spending. The report advocates a threefold approach to health policy for governments in developing countries and in the formerly socialist countries. First, to foster an economic environment that will enable households to improve their own health. Policies for economic growth that ensure income gains for the poor are essential. So, too, is expanded investment in schooling, particulary for girls. Second, redirect government spending away from specialized care and toward such low-cost and highly effective activities such as immunization, programs to combat micronutrient deficiencies, and control and treatment of infectious diseases. By adopting the packages of public health measures and essential clinical care dsecribed in the report, developing countries could reduce their burden of disease by 25 percent. Third, encourage greater diversity and competition in the provision of health services by decentralizing government services, promoting competitive procurement practices, fostering greater involvement by nongovernmental and other private organizations, and regulating insurance markets. These reforms could translate into longer, healthier, and more productive lives for people around the world, and especially for the more than 1 billion poor. As in previous editions, this report includes the World Development Indicators, wh\u2026", "author" : [ { "dropping-particle" : "", "family" : "Berkley", "given" : "Seth", "non-dropping-particle" : "", "parse-names" : false, "suffix" : "" }, { "dropping-particle" : "", "family" : "Murray", "given" : "Christopher J. L.", "non-dropping-particle" : "", "parse-names" : false, "suffix" : "" }, { "dropping-particle" : "", "family" : "Hecht", "given" : "Robert", "non-dropping-particle" : "", "parse-names" : false, "suffix" : "" }, { "dropping-particle" : "", "family" : "Saxenian", "given" : "Helen", "non-dropping-particle" : "", "parse-names" : false, "suffix" : "" }, { "dropping-particle" : "", "family" : "Musgrove", "given" : "Philip", "non-dropping-particle" : "", "parse-names" : false, "suffix" : "" }, { "dropping-particle" : "", "family" : "Tan", "given" : "Jee-Peng", "non-dropping-particle" : "", "parse-names" : false, "suffix" : "" }, { "dropping-particle" : "", "family" : "Bobadilla", "given" : "Jose-Luis", "non-dropping-particle" : "", "parse-names" : false, "suffix" : "" }, { "dropping-particle" : "", "family" : "Hill", "given" : "Kenneth", "non-dropping-particle" : "", "parse-names" : false, "suffix" : "" }, { "dropping-particle" : "", "family" : "Jamison", "given" : "Dean T.", "non-dropping-particle" : "", "parse-names" : false, "suffix" : "" } ], "id" : "ITEM-1", "issued" : { "date-parts" : [ [ "1993", "7", "1" ] ] }, "language" : "es", "page" : "1-351", "title" : "Informe sobre el desarrollo mundial 1993 : investir en salud", "type" : "article-journal" }, "uris" : [ "http://www.mendeley.com/documents/?uuid=aca2a692-f864-422d-882c-49c255a22f2c" ] } ], "mendeley" : { "formattedCitation" : "(Berkley et al. 1993)", "plainTextFormattedCitation" : "(Berkley et al. 1993)", "previouslyFormattedCitation" : "(Berkley et al. 1993)" }, "properties" : { "noteIndex" : 0 }, "schema" : "https://github.com/citation-style-language/schema/raw/master/csl-citation.json" }</w:instrText>
      </w:r>
      <w:r w:rsidR="0055093D" w:rsidRPr="00210A53">
        <w:rPr>
          <w:rFonts w:cs="Arial"/>
        </w:rPr>
        <w:fldChar w:fldCharType="separate"/>
      </w:r>
      <w:r w:rsidR="0055093D" w:rsidRPr="00210A53">
        <w:rPr>
          <w:rFonts w:cs="Arial"/>
        </w:rPr>
        <w:t>(Berkley et al. 1993)</w:t>
      </w:r>
      <w:r w:rsidR="0055093D" w:rsidRPr="00210A53">
        <w:rPr>
          <w:rFonts w:cs="Arial"/>
        </w:rPr>
        <w:fldChar w:fldCharType="end"/>
      </w:r>
      <w:r w:rsidR="0055093D" w:rsidRPr="00210A53">
        <w:rPr>
          <w:rFonts w:cs="Arial"/>
        </w:rPr>
        <w:t xml:space="preserve"> </w:t>
      </w:r>
      <w:r w:rsidRPr="00210A53">
        <w:rPr>
          <w:rFonts w:cs="Arial"/>
        </w:rPr>
        <w:t xml:space="preserve">y en el respectivo libro de referencia </w:t>
      </w:r>
      <w:proofErr w:type="spellStart"/>
      <w:r w:rsidRPr="00210A53">
        <w:rPr>
          <w:rFonts w:cs="Arial"/>
          <w:i/>
          <w:iCs/>
        </w:rPr>
        <w:t>Disease</w:t>
      </w:r>
      <w:proofErr w:type="spellEnd"/>
      <w:r w:rsidRPr="00210A53">
        <w:rPr>
          <w:rFonts w:cs="Arial"/>
          <w:i/>
          <w:iCs/>
        </w:rPr>
        <w:t xml:space="preserve"> Control </w:t>
      </w:r>
      <w:proofErr w:type="spellStart"/>
      <w:r w:rsidRPr="00210A53">
        <w:rPr>
          <w:rFonts w:cs="Arial"/>
          <w:i/>
          <w:iCs/>
        </w:rPr>
        <w:t>Priorities</w:t>
      </w:r>
      <w:proofErr w:type="spellEnd"/>
      <w:r w:rsidRPr="00210A53">
        <w:rPr>
          <w:rFonts w:cs="Arial"/>
          <w:i/>
          <w:iCs/>
        </w:rPr>
        <w:t xml:space="preserve"> in </w:t>
      </w:r>
      <w:proofErr w:type="spellStart"/>
      <w:r w:rsidRPr="00210A53">
        <w:rPr>
          <w:rFonts w:cs="Arial"/>
          <w:i/>
          <w:iCs/>
        </w:rPr>
        <w:t>Developing</w:t>
      </w:r>
      <w:proofErr w:type="spellEnd"/>
      <w:r w:rsidRPr="00210A53">
        <w:rPr>
          <w:rFonts w:cs="Arial"/>
        </w:rPr>
        <w:t xml:space="preserve"> </w:t>
      </w:r>
      <w:r w:rsidRPr="00210A53">
        <w:rPr>
          <w:rFonts w:cs="Arial"/>
          <w:i/>
          <w:iCs/>
        </w:rPr>
        <w:t xml:space="preserve">Countries </w:t>
      </w:r>
      <w:r w:rsidR="0055093D" w:rsidRPr="00210A53">
        <w:rPr>
          <w:rFonts w:cs="Arial"/>
          <w:i/>
          <w:iCs/>
        </w:rPr>
        <w:fldChar w:fldCharType="begin" w:fldLock="1"/>
      </w:r>
      <w:r w:rsidR="00D85DA0" w:rsidRPr="00210A53">
        <w:rPr>
          <w:rFonts w:cs="Arial"/>
          <w:i/>
          <w:iCs/>
        </w:rPr>
        <w:instrText>ADDIN CSL_CITATION { "citationItems" : [ { "id" : "ITEM-1", "itemData" : { "PMID" : "21250309", "author" : [ { "dropping-particle" : "", "family" : "Jamison", "given" : "Dean T", "non-dropping-particle" : "", "parse-names" : false, "suffix" : "" }, { "dropping-particle" : "", "family" : "Breman", "given" : "Joel G", "non-dropping-particle" : "", "parse-names" : false, "suffix" : "" }, { "dropping-particle" : "", "family" : "Measham", "given" : "Anthony R", "non-dropping-particle" : "", "parse-names" : false, "suffix" : "" }, { "dropping-particle" : "", "family" : "Alleyne", "given" : "George", "non-dropping-particle" : "", "parse-names" : false, "suffix" : "" }, { "dropping-particle" : "", "family" : "Claeson", "given" : "Mariam", "non-dropping-particle" : "", "parse-names" : false, "suffix" : "" }, { "dropping-particle" : "", "family" : "Evans", "given" : "David B", "non-dropping-particle" : "", "parse-names" : false, "suffix" : "" }, { "dropping-particle" : "", "family" : "Jha", "given" : "Prabhat", "non-dropping-particle" : "", "parse-names" : false, "suffix" : "" }, { "dropping-particle" : "", "family" : "Mills", "given" : "Anne", "non-dropping-particle" : "", "parse-names" : false, "suffix" : "" }, { "dropping-particle" : "", "family" : "Musgrove", "given" : "Philip", "non-dropping-particle" : "", "parse-names" : false, "suffix" : "" } ], "id" : "ITEM-1", "issued" : { "date-parts" : [ [ "2006" ] ] }, "language" : "en", "publisher" : "World Bank", "title" : "Disease Control Priorities in Developing Countries", "type" : "article" }, "uris" : [ "http://www.mendeley.com/documents/?uuid=64a8ed3c-bb59-4fc6-ab56-b821ebef995e" ] } ], "mendeley" : { "formattedCitation" : "(Jamison et al. 2006)", "plainTextFormattedCitation" : "(Jamison et al. 2006)", "previouslyFormattedCitation" : "(Jamison et al. 2006)" }, "properties" : { "noteIndex" : 0 }, "schema" : "https://github.com/citation-style-language/schema/raw/master/csl-citation.json" }</w:instrText>
      </w:r>
      <w:r w:rsidR="0055093D" w:rsidRPr="00210A53">
        <w:rPr>
          <w:rFonts w:cs="Arial"/>
          <w:i/>
          <w:iCs/>
        </w:rPr>
        <w:fldChar w:fldCharType="separate"/>
      </w:r>
      <w:r w:rsidR="0055093D" w:rsidRPr="00210A53">
        <w:rPr>
          <w:rFonts w:cs="Arial"/>
          <w:iCs/>
        </w:rPr>
        <w:t>(</w:t>
      </w:r>
      <w:proofErr w:type="spellStart"/>
      <w:r w:rsidR="0055093D" w:rsidRPr="00210A53">
        <w:rPr>
          <w:rFonts w:cs="Arial"/>
          <w:iCs/>
        </w:rPr>
        <w:t>Jamison</w:t>
      </w:r>
      <w:proofErr w:type="spellEnd"/>
      <w:r w:rsidR="0055093D" w:rsidRPr="00210A53">
        <w:rPr>
          <w:rFonts w:cs="Arial"/>
          <w:iCs/>
        </w:rPr>
        <w:t xml:space="preserve"> et al. 2006)</w:t>
      </w:r>
      <w:r w:rsidR="0055093D" w:rsidRPr="00210A53">
        <w:rPr>
          <w:rFonts w:cs="Arial"/>
          <w:i/>
          <w:iCs/>
        </w:rPr>
        <w:fldChar w:fldCharType="end"/>
      </w:r>
      <w:r w:rsidRPr="00210A53">
        <w:rPr>
          <w:rFonts w:cs="Arial"/>
        </w:rPr>
        <w:t>. Hoy</w:t>
      </w:r>
      <w:r w:rsidR="00890E4E" w:rsidRPr="00210A53">
        <w:rPr>
          <w:rFonts w:cs="Arial"/>
        </w:rPr>
        <w:t> </w:t>
      </w:r>
      <w:r w:rsidRPr="00210A53">
        <w:rPr>
          <w:rFonts w:cs="Arial"/>
        </w:rPr>
        <w:t xml:space="preserve">en día es un indicador ampliamente usado en el ámbito </w:t>
      </w:r>
      <w:r w:rsidR="008F6D7E" w:rsidRPr="00210A53">
        <w:rPr>
          <w:rFonts w:cs="Arial"/>
        </w:rPr>
        <w:t xml:space="preserve">del desarrollo </w:t>
      </w:r>
      <w:r w:rsidRPr="00210A53">
        <w:rPr>
          <w:rFonts w:cs="Arial"/>
        </w:rPr>
        <w:t>internacional para estimar la carga mundial de enfermedad y para estudios comparativos de costo-efectividad. El</w:t>
      </w:r>
      <w:r w:rsidR="00890E4E" w:rsidRPr="00210A53">
        <w:rPr>
          <w:rFonts w:cs="Arial"/>
        </w:rPr>
        <w:t> </w:t>
      </w:r>
      <w:r w:rsidRPr="00210A53">
        <w:rPr>
          <w:rFonts w:cs="Arial"/>
        </w:rPr>
        <w:t xml:space="preserve">uso como medida de salud de los </w:t>
      </w:r>
      <w:proofErr w:type="spellStart"/>
      <w:r w:rsidRPr="00210A53">
        <w:rPr>
          <w:rFonts w:cs="Arial"/>
        </w:rPr>
        <w:t>AVAD</w:t>
      </w:r>
      <w:r w:rsidR="007907B9" w:rsidRPr="00210A53">
        <w:rPr>
          <w:rFonts w:cs="Arial"/>
        </w:rPr>
        <w:t>s</w:t>
      </w:r>
      <w:proofErr w:type="spellEnd"/>
      <w:r w:rsidRPr="00210A53">
        <w:rPr>
          <w:rFonts w:cs="Arial"/>
        </w:rPr>
        <w:t xml:space="preserve"> permite cuantificar el estado de salud de una población con las siguientes propiedades:</w:t>
      </w:r>
    </w:p>
    <w:p w14:paraId="7BA629DA" w14:textId="77777777" w:rsidR="00FA34E2" w:rsidRPr="00210A53" w:rsidRDefault="00FA34E2" w:rsidP="008A41E6">
      <w:pPr>
        <w:numPr>
          <w:ilvl w:val="0"/>
          <w:numId w:val="4"/>
        </w:numPr>
        <w:spacing w:before="120" w:after="100" w:afterAutospacing="1"/>
        <w:contextualSpacing/>
        <w:jc w:val="both"/>
        <w:rPr>
          <w:rFonts w:ascii="Arial" w:hAnsi="Arial" w:cs="Arial"/>
          <w:sz w:val="22"/>
          <w:szCs w:val="22"/>
        </w:rPr>
      </w:pPr>
      <w:r w:rsidRPr="556FAFAE">
        <w:rPr>
          <w:rFonts w:ascii="Arial" w:hAnsi="Arial" w:cs="Arial"/>
          <w:sz w:val="22"/>
          <w:szCs w:val="22"/>
        </w:rPr>
        <w:t>Incorporar condiciones no fatales en las evaluaciones de los estados de salud.</w:t>
      </w:r>
    </w:p>
    <w:p w14:paraId="30A07E0B" w14:textId="77777777" w:rsidR="00FA34E2" w:rsidRPr="00210A53" w:rsidRDefault="00FA34E2" w:rsidP="008A41E6">
      <w:pPr>
        <w:numPr>
          <w:ilvl w:val="0"/>
          <w:numId w:val="4"/>
        </w:numPr>
        <w:spacing w:before="120" w:after="100" w:afterAutospacing="1"/>
        <w:contextualSpacing/>
        <w:jc w:val="both"/>
        <w:rPr>
          <w:rFonts w:ascii="Arial" w:hAnsi="Arial" w:cs="Arial"/>
          <w:sz w:val="22"/>
          <w:szCs w:val="22"/>
        </w:rPr>
      </w:pPr>
      <w:r w:rsidRPr="556FAFAE">
        <w:rPr>
          <w:rFonts w:ascii="Arial" w:hAnsi="Arial" w:cs="Arial"/>
          <w:sz w:val="22"/>
          <w:szCs w:val="22"/>
        </w:rPr>
        <w:t>Obtener estimaciones objetivas y plausibles de las cargas de condiciones y enfermedades particulares.</w:t>
      </w:r>
    </w:p>
    <w:p w14:paraId="18102A90" w14:textId="77777777" w:rsidR="00FA34E2" w:rsidRPr="00210A53" w:rsidRDefault="00FA34E2" w:rsidP="008A41E6">
      <w:pPr>
        <w:numPr>
          <w:ilvl w:val="0"/>
          <w:numId w:val="4"/>
        </w:numPr>
        <w:spacing w:before="120" w:after="100" w:afterAutospacing="1"/>
        <w:contextualSpacing/>
        <w:jc w:val="both"/>
        <w:rPr>
          <w:rFonts w:ascii="Arial" w:hAnsi="Arial" w:cs="Arial"/>
          <w:sz w:val="22"/>
          <w:szCs w:val="22"/>
        </w:rPr>
      </w:pPr>
      <w:r w:rsidRPr="556FAFAE">
        <w:rPr>
          <w:rFonts w:ascii="Arial" w:hAnsi="Arial" w:cs="Arial"/>
          <w:sz w:val="22"/>
          <w:szCs w:val="22"/>
        </w:rPr>
        <w:t>Medir la carga de enfermedades y daños físicos en una unidad que permita también evaluar el costo/efectividad de las intervenciones, en términos de costo por unidad de carga de enfermedad eliminada.</w:t>
      </w:r>
    </w:p>
    <w:p w14:paraId="3F3DA37D" w14:textId="77777777" w:rsidR="00FA34E2" w:rsidRPr="00210A53" w:rsidRDefault="00FA34E2" w:rsidP="001025F1">
      <w:pPr>
        <w:spacing w:before="120" w:after="100" w:afterAutospacing="1"/>
        <w:ind w:left="360"/>
        <w:contextualSpacing/>
        <w:jc w:val="both"/>
        <w:rPr>
          <w:rFonts w:ascii="Arial" w:hAnsi="Arial" w:cs="Arial"/>
          <w:sz w:val="22"/>
          <w:szCs w:val="22"/>
        </w:rPr>
      </w:pPr>
    </w:p>
    <w:p w14:paraId="1AC43219" w14:textId="762B7851" w:rsidR="00FE36C0" w:rsidRPr="00210A53" w:rsidRDefault="007907B9" w:rsidP="1F2A10AC">
      <w:pPr>
        <w:spacing w:before="120" w:after="100" w:afterAutospacing="1"/>
        <w:contextualSpacing/>
        <w:jc w:val="both"/>
        <w:rPr>
          <w:rFonts w:ascii="Arial" w:hAnsi="Arial" w:cs="Arial"/>
          <w:sz w:val="22"/>
          <w:szCs w:val="22"/>
        </w:rPr>
      </w:pPr>
      <w:r w:rsidRPr="00210A53">
        <w:rPr>
          <w:rFonts w:ascii="Arial" w:hAnsi="Arial" w:cs="Arial"/>
          <w:sz w:val="22"/>
          <w:szCs w:val="22"/>
        </w:rPr>
        <w:t>L</w:t>
      </w:r>
      <w:r w:rsidR="00FA34E2" w:rsidRPr="00210A53">
        <w:rPr>
          <w:rFonts w:ascii="Arial" w:hAnsi="Arial" w:cs="Arial"/>
          <w:sz w:val="22"/>
          <w:szCs w:val="22"/>
        </w:rPr>
        <w:t xml:space="preserve">os años de vida perdidos por cada muerte </w:t>
      </w:r>
      <w:r w:rsidRPr="00210A53">
        <w:rPr>
          <w:rFonts w:ascii="Arial" w:hAnsi="Arial" w:cs="Arial"/>
          <w:sz w:val="22"/>
          <w:szCs w:val="22"/>
        </w:rPr>
        <w:t xml:space="preserve">prematura </w:t>
      </w:r>
      <w:r w:rsidR="00FA34E2" w:rsidRPr="00210A53">
        <w:rPr>
          <w:rFonts w:ascii="Arial" w:hAnsi="Arial" w:cs="Arial"/>
          <w:sz w:val="22"/>
          <w:szCs w:val="22"/>
        </w:rPr>
        <w:t>se establecen en función de la Esperanza de Vida</w:t>
      </w:r>
      <w:r w:rsidR="001A14D5" w:rsidRPr="00210A53">
        <w:rPr>
          <w:rFonts w:ascii="Arial" w:hAnsi="Arial" w:cs="Arial"/>
          <w:sz w:val="22"/>
          <w:szCs w:val="22"/>
        </w:rPr>
        <w:t xml:space="preserve"> restante</w:t>
      </w:r>
      <w:r w:rsidR="00FA34E2" w:rsidRPr="00210A53">
        <w:rPr>
          <w:rFonts w:ascii="Arial" w:hAnsi="Arial" w:cs="Arial"/>
          <w:sz w:val="22"/>
          <w:szCs w:val="22"/>
        </w:rPr>
        <w:t xml:space="preserve"> a la edad de cada muerte. Un AVAD representa la pérdida de un año que equiv</w:t>
      </w:r>
      <w:r w:rsidRPr="00210A53">
        <w:rPr>
          <w:rFonts w:ascii="Arial" w:hAnsi="Arial" w:cs="Arial"/>
          <w:sz w:val="22"/>
          <w:szCs w:val="22"/>
        </w:rPr>
        <w:t xml:space="preserve">ale a un año </w:t>
      </w:r>
      <w:r w:rsidR="00917F3C" w:rsidRPr="00210A53">
        <w:rPr>
          <w:rFonts w:ascii="Arial" w:hAnsi="Arial" w:cs="Arial"/>
          <w:sz w:val="22"/>
          <w:szCs w:val="22"/>
        </w:rPr>
        <w:t>totalmente</w:t>
      </w:r>
      <w:r w:rsidR="00FA34E2" w:rsidRPr="00210A53">
        <w:rPr>
          <w:rFonts w:ascii="Arial" w:hAnsi="Arial" w:cs="Arial"/>
          <w:sz w:val="22"/>
          <w:szCs w:val="22"/>
        </w:rPr>
        <w:t xml:space="preserve"> saludable. </w:t>
      </w:r>
      <w:bookmarkStart w:id="25" w:name="f1"/>
      <w:bookmarkEnd w:id="25"/>
      <w:r w:rsidR="00FE36C0" w:rsidRPr="00210A53">
        <w:rPr>
          <w:rFonts w:ascii="Arial" w:hAnsi="Arial" w:cs="Arial"/>
          <w:sz w:val="22"/>
          <w:szCs w:val="22"/>
        </w:rPr>
        <w:t xml:space="preserve">En términos generales los </w:t>
      </w:r>
      <w:proofErr w:type="spellStart"/>
      <w:r w:rsidR="00FE36C0" w:rsidRPr="00210A53">
        <w:rPr>
          <w:rFonts w:ascii="Arial" w:hAnsi="Arial" w:cs="Arial"/>
          <w:sz w:val="22"/>
          <w:szCs w:val="22"/>
        </w:rPr>
        <w:t>A</w:t>
      </w:r>
      <w:r w:rsidR="005B08FD" w:rsidRPr="00210A53">
        <w:rPr>
          <w:rFonts w:ascii="Arial" w:hAnsi="Arial" w:cs="Arial"/>
          <w:sz w:val="22"/>
          <w:szCs w:val="22"/>
        </w:rPr>
        <w:t>V</w:t>
      </w:r>
      <w:r w:rsidR="00917F3C" w:rsidRPr="00210A53">
        <w:rPr>
          <w:rFonts w:ascii="Arial" w:hAnsi="Arial" w:cs="Arial"/>
          <w:sz w:val="22"/>
          <w:szCs w:val="22"/>
        </w:rPr>
        <w:t>A</w:t>
      </w:r>
      <w:r w:rsidR="00FE36C0" w:rsidRPr="00210A53">
        <w:rPr>
          <w:rFonts w:ascii="Arial" w:hAnsi="Arial" w:cs="Arial"/>
          <w:sz w:val="22"/>
          <w:szCs w:val="22"/>
        </w:rPr>
        <w:t>D</w:t>
      </w:r>
      <w:r w:rsidRPr="00210A53">
        <w:rPr>
          <w:rFonts w:ascii="Arial" w:hAnsi="Arial" w:cs="Arial"/>
          <w:sz w:val="22"/>
          <w:szCs w:val="22"/>
        </w:rPr>
        <w:t>s</w:t>
      </w:r>
      <w:proofErr w:type="spellEnd"/>
      <w:r w:rsidR="00FE36C0" w:rsidRPr="00210A53">
        <w:rPr>
          <w:rFonts w:ascii="Arial" w:hAnsi="Arial" w:cs="Arial"/>
          <w:sz w:val="22"/>
          <w:szCs w:val="22"/>
        </w:rPr>
        <w:t xml:space="preserve"> dependen de los siguientes parámetros: </w:t>
      </w:r>
      <m:oMath>
        <m:r>
          <w:rPr>
            <w:rFonts w:ascii="Cambria Math" w:hAnsi="Cambria Math" w:cs="Arial"/>
            <w:sz w:val="22"/>
            <w:szCs w:val="22"/>
          </w:rPr>
          <m:t>AVD</m:t>
        </m:r>
      </m:oMath>
      <w:r w:rsidR="00FE36C0" w:rsidRPr="00210A53">
        <w:rPr>
          <w:rFonts w:ascii="Arial" w:hAnsi="Arial" w:cs="Arial"/>
          <w:sz w:val="22"/>
          <w:szCs w:val="22"/>
        </w:rPr>
        <w:t xml:space="preserve">: total Años Vividos con Discapacidad. </w:t>
      </w: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j</m:t>
            </m:r>
          </m:sub>
        </m:sSub>
      </m:oMath>
      <w:r w:rsidR="00FE36C0" w:rsidRPr="00210A53">
        <w:rPr>
          <w:rFonts w:ascii="Arial" w:hAnsi="Arial" w:cs="Arial"/>
          <w:sz w:val="22"/>
          <w:szCs w:val="22"/>
        </w:rPr>
        <w:t xml:space="preserve">: Población susceptible de enfermar a cada edad (0 - L). </w:t>
      </w:r>
      <m:oMath>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j</m:t>
            </m:r>
          </m:sub>
        </m:sSub>
      </m:oMath>
      <w:r w:rsidR="00FE36C0" w:rsidRPr="00210A53">
        <w:rPr>
          <w:rFonts w:ascii="Arial" w:hAnsi="Arial" w:cs="Arial"/>
          <w:sz w:val="22"/>
          <w:szCs w:val="22"/>
        </w:rPr>
        <w:t xml:space="preserve">: Incidencia de la enfermedad a cada edad (0 - L).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j</m:t>
            </m:r>
          </m:sub>
        </m:sSub>
      </m:oMath>
      <w:r w:rsidR="00FE36C0" w:rsidRPr="00210A53">
        <w:rPr>
          <w:rFonts w:ascii="Arial" w:hAnsi="Arial" w:cs="Arial"/>
          <w:sz w:val="22"/>
          <w:szCs w:val="22"/>
        </w:rPr>
        <w:t xml:space="preserve">: Duración media de la enfermedad desde la edad de inicio (0 - L). </w:t>
      </w:r>
      <m:oMath>
        <m:r>
          <w:rPr>
            <w:rFonts w:ascii="Cambria Math" w:hAnsi="Cambria Math" w:cs="Arial"/>
            <w:sz w:val="22"/>
            <w:szCs w:val="22"/>
          </w:rPr>
          <m:t>D</m:t>
        </m:r>
      </m:oMath>
      <w:r w:rsidR="00FE36C0" w:rsidRPr="00210A53">
        <w:rPr>
          <w:rFonts w:ascii="Arial" w:hAnsi="Arial" w:cs="Arial"/>
          <w:sz w:val="22"/>
          <w:szCs w:val="22"/>
        </w:rPr>
        <w:t>: Valor que pondera la discapacidad entre valores de "0 = salud perfecta" y "1</w:t>
      </w:r>
      <w:r w:rsidR="00890E4E" w:rsidRPr="00210A53">
        <w:rPr>
          <w:rFonts w:ascii="Arial" w:hAnsi="Arial" w:cs="Arial"/>
          <w:sz w:val="22"/>
          <w:szCs w:val="22"/>
        </w:rPr>
        <w:t> </w:t>
      </w:r>
      <w:r w:rsidR="00FE36C0" w:rsidRPr="00210A53">
        <w:rPr>
          <w:rFonts w:ascii="Arial" w:hAnsi="Arial" w:cs="Arial"/>
          <w:sz w:val="22"/>
          <w:szCs w:val="22"/>
        </w:rPr>
        <w:t>=</w:t>
      </w:r>
      <w:r w:rsidR="00890E4E" w:rsidRPr="00210A53">
        <w:rPr>
          <w:rFonts w:ascii="Arial" w:hAnsi="Arial" w:cs="Arial"/>
          <w:sz w:val="22"/>
          <w:szCs w:val="22"/>
        </w:rPr>
        <w:t> </w:t>
      </w:r>
      <w:r w:rsidR="00FE36C0" w:rsidRPr="00210A53">
        <w:rPr>
          <w:rFonts w:ascii="Arial" w:hAnsi="Arial" w:cs="Arial"/>
          <w:sz w:val="22"/>
          <w:szCs w:val="22"/>
        </w:rPr>
        <w:t>máxima discapacidad o equivalente al estado de muerte". El método para establecer las escalas de severidad o ponderación de la discapacidad usada para los AVAD es el de Equivalencia de personas</w:t>
      </w:r>
      <w:r w:rsidR="00BF5924" w:rsidRPr="00210A53">
        <w:rPr>
          <w:rFonts w:ascii="Arial" w:hAnsi="Arial" w:cs="Arial"/>
          <w:sz w:val="22"/>
          <w:szCs w:val="22"/>
        </w:rPr>
        <w:t xml:space="preserve"> </w:t>
      </w:r>
      <w:r w:rsidR="00BF5924" w:rsidRPr="00210A53">
        <w:rPr>
          <w:rFonts w:ascii="Arial" w:hAnsi="Arial" w:cs="Arial"/>
          <w:sz w:val="22"/>
          <w:szCs w:val="22"/>
        </w:rPr>
        <w:fldChar w:fldCharType="begin" w:fldLock="1"/>
      </w:r>
      <w:r w:rsidR="00531F9F" w:rsidRPr="00210A53">
        <w:rPr>
          <w:rFonts w:ascii="Arial" w:hAnsi="Arial" w:cs="Arial"/>
          <w:sz w:val="22"/>
          <w:szCs w:val="22"/>
        </w:rPr>
        <w:instrText>ADDIN CSL_CITATION { "citationItems" : [ { "id" : "ITEM-1", "itemData" : { "ISSN" : "0042-9686", "PMID" : "8062403", "abstract" : "Conventional methods for collecting, analysing and disseminating data and information on disability in populations have relied on cross-sectional censuses and surveys which measure prevalence in a given period. While this may be relevant for defining the extent and demographic pattern of disabilities in a population, and thus indicating the need for rehabilitative services, prevention requires detailed information on the underlying diseases and injuries that cause disabilities. The Global Burden of Disease methodology described in this paper provides a mechanism for quantifying the health consequences of the years of life lived with disabilities by first estimating the age-sex-specific incidence rates of underlying conditions, and then mapping these to a single disability index which collectively reflects the probability of progressing to a disability, the duration of life lived with the disability, and the approximate severity of the disability in terms of activity restriction. Detailed estimates of the number of disability-adjusted life years (DALYs) lived are provided in this paper, for eight geographical regions. The results should be useful to those concerned with planning health services for the disabled and, more particularly, with determining policies to prevent the underlying conditions which give rise to serious disabling sequelae.", "author" : [ { "dropping-particle" : "", "family" : "Murray", "given" : "C J", "non-dropping-particle" : "", "parse-names" : false, "suffix" : "" }, { "dropping-particle" : "", "family" : "Lopez", "given" : "A D", "non-dropping-particle" : "", "parse-names" : false, "suffix" : "" } ], "container-title" : "Bulletin of the World Health Organization", "id" : "ITEM-1", "issue" : "3", "issued" : { "date-parts" : [ [ "1994", "1" ] ] }, "page" : "481-94", "title" : "Quantifying disability: data, methods and results.", "type" : "article-journal", "volume" : "72" }, "uris" : [ "http://www.mendeley.com/documents/?uuid=4d26c997-ee43-4358-ad62-eb467cf111a9" ] } ], "mendeley" : { "formattedCitation" : "(C. J. Murray and Lopez 1994)", "manualFormatting" : "(Murray y Lopez 1994)", "plainTextFormattedCitation" : "(C. J. Murray and Lopez 1994)", "previouslyFormattedCitation" : "(C. J. Murray and Lopez 1994)" }, "properties" : { "noteIndex" : 0 }, "schema" : "https://github.com/citation-style-language/schema/raw/master/csl-citation.json" }</w:instrText>
      </w:r>
      <w:r w:rsidR="00BF5924" w:rsidRPr="00210A53">
        <w:rPr>
          <w:rFonts w:ascii="Arial" w:hAnsi="Arial" w:cs="Arial"/>
          <w:sz w:val="22"/>
          <w:szCs w:val="22"/>
        </w:rPr>
        <w:fldChar w:fldCharType="separate"/>
      </w:r>
      <w:r w:rsidR="00BF5924" w:rsidRPr="00210A53">
        <w:rPr>
          <w:rFonts w:ascii="Arial" w:hAnsi="Arial" w:cs="Arial"/>
          <w:sz w:val="22"/>
          <w:szCs w:val="22"/>
        </w:rPr>
        <w:t>(Murray y Lopez 1994)</w:t>
      </w:r>
      <w:r w:rsidR="00BF5924" w:rsidRPr="00210A53">
        <w:rPr>
          <w:rFonts w:ascii="Arial" w:hAnsi="Arial" w:cs="Arial"/>
          <w:sz w:val="22"/>
          <w:szCs w:val="22"/>
        </w:rPr>
        <w:fldChar w:fldCharType="end"/>
      </w:r>
      <w:r w:rsidR="00FE36C0" w:rsidRPr="00210A53">
        <w:rPr>
          <w:rFonts w:ascii="Arial" w:hAnsi="Arial" w:cs="Arial"/>
          <w:sz w:val="22"/>
          <w:szCs w:val="22"/>
        </w:rPr>
        <w:t xml:space="preserve">. Adicionalmente, para estimar los </w:t>
      </w:r>
      <w:proofErr w:type="spellStart"/>
      <w:r w:rsidR="00FE36C0" w:rsidRPr="00210A53">
        <w:rPr>
          <w:rFonts w:ascii="Arial" w:hAnsi="Arial" w:cs="Arial"/>
          <w:sz w:val="22"/>
          <w:szCs w:val="22"/>
        </w:rPr>
        <w:t>AVADs</w:t>
      </w:r>
      <w:proofErr w:type="spellEnd"/>
      <w:r w:rsidR="00FE36C0" w:rsidRPr="00210A53">
        <w:rPr>
          <w:rFonts w:ascii="Arial" w:hAnsi="Arial" w:cs="Arial"/>
          <w:sz w:val="22"/>
          <w:szCs w:val="22"/>
        </w:rPr>
        <w:t xml:space="preserve"> se incluye una tasa de descuento implícita para ajustar por pérdidas futuras en la salud de los individuos</w:t>
      </w:r>
      <w:r w:rsidR="008517B2">
        <w:rPr>
          <w:rStyle w:val="FootnoteReference"/>
          <w:rFonts w:ascii="Arial" w:hAnsi="Arial" w:cs="Arial"/>
          <w:sz w:val="22"/>
          <w:szCs w:val="22"/>
        </w:rPr>
        <w:footnoteReference w:id="6"/>
      </w:r>
      <w:r w:rsidR="00FE36C0" w:rsidRPr="00210A53">
        <w:rPr>
          <w:rFonts w:ascii="Arial" w:hAnsi="Arial" w:cs="Arial"/>
          <w:sz w:val="22"/>
          <w:szCs w:val="22"/>
        </w:rPr>
        <w:t xml:space="preserve"> (WHO, 2020). </w:t>
      </w:r>
    </w:p>
    <w:p w14:paraId="73C2A240" w14:textId="77777777" w:rsidR="00FE36C0" w:rsidRPr="00210A53" w:rsidRDefault="00FE36C0" w:rsidP="001025F1">
      <w:pPr>
        <w:spacing w:before="120" w:after="100" w:afterAutospacing="1"/>
        <w:contextualSpacing/>
        <w:jc w:val="both"/>
        <w:rPr>
          <w:rFonts w:ascii="Arial" w:hAnsi="Arial" w:cs="Arial"/>
          <w:sz w:val="22"/>
          <w:szCs w:val="22"/>
        </w:rPr>
      </w:pPr>
    </w:p>
    <w:p w14:paraId="0CD761CC" w14:textId="79F57EB1" w:rsidR="00FE36C0" w:rsidRPr="00210A53" w:rsidRDefault="00FE36C0" w:rsidP="001025F1">
      <w:pPr>
        <w:spacing w:before="120" w:after="100" w:afterAutospacing="1"/>
        <w:contextualSpacing/>
        <w:jc w:val="both"/>
        <w:rPr>
          <w:rFonts w:ascii="Arial" w:hAnsi="Arial" w:cs="Arial"/>
          <w:sz w:val="22"/>
          <w:szCs w:val="22"/>
        </w:rPr>
      </w:pPr>
      <w:r w:rsidRPr="00210A53">
        <w:rPr>
          <w:rFonts w:ascii="Arial" w:hAnsi="Arial" w:cs="Arial"/>
          <w:sz w:val="22"/>
          <w:szCs w:val="22"/>
        </w:rPr>
        <w:t>Como discu</w:t>
      </w:r>
      <w:r w:rsidR="005B08FD" w:rsidRPr="00210A53">
        <w:rPr>
          <w:rFonts w:ascii="Arial" w:hAnsi="Arial" w:cs="Arial"/>
          <w:sz w:val="22"/>
          <w:szCs w:val="22"/>
        </w:rPr>
        <w:t xml:space="preserve">ten </w:t>
      </w:r>
      <w:r w:rsidR="00D85DA0" w:rsidRPr="00210A53">
        <w:rPr>
          <w:rFonts w:ascii="Arial" w:hAnsi="Arial" w:cs="Arial"/>
          <w:sz w:val="22"/>
          <w:szCs w:val="22"/>
        </w:rPr>
        <w:fldChar w:fldCharType="begin" w:fldLock="1"/>
      </w:r>
      <w:r w:rsidR="00A04E82" w:rsidRPr="00210A53">
        <w:rPr>
          <w:rFonts w:ascii="Arial" w:hAnsi="Arial" w:cs="Arial"/>
          <w:sz w:val="22"/>
          <w:szCs w:val="22"/>
        </w:rPr>
        <w:instrText>ADDIN CSL_CITATION { "citationItems" : [ { "id" : "ITEM-1", "itemData" : { "DOI" : "10.4067/S0034-98872010001000005", "ISSN" : "0034-9887", "author" : [ { "dropping-particle" : "", "family" : "Alvis", "given" : "Nelson", "non-dropping-particle" : "", "parse-names" : false, "suffix" : "" }, { "dropping-particle" : "", "family" : "Valenzuela", "given" : "Mar\u00eda Teresa", "non-dropping-particle" : "", "parse-names" : false, "suffix" : "" } ], "container-title" : "Revista m\u00e9dica de Chile", "id" : "ITEM-1", "issued" : { "date-parts" : [ [ "2010", "9" ] ] }, "page" : "83-87", "publisher" : "Sociedad M\u00e9dica de Santiago", "title" : "Los QALYs y DALYs como indicadores sint\u00e9ticos de salud", "type" : "article-journal", "volume" : "138" }, "uris" : [ "http://www.mendeley.com/documents/?uuid=1d14ce35-712c-4909-bd3b-a2eecdfe3e42" ] } ], "mendeley" : { "formattedCitation" : "(Alvis and Valenzuela 2010)", "manualFormatting" : "Alvis y Valenzuela (2010)", "plainTextFormattedCitation" : "(Alvis and Valenzuela 2010)", "previouslyFormattedCitation" : "(Alvis and Valenzuela 2010)" }, "properties" : { "noteIndex" : 0 }, "schema" : "https://github.com/citation-style-language/schema/raw/master/csl-citation.json" }</w:instrText>
      </w:r>
      <w:r w:rsidR="00D85DA0" w:rsidRPr="00210A53">
        <w:rPr>
          <w:rFonts w:ascii="Arial" w:hAnsi="Arial" w:cs="Arial"/>
          <w:sz w:val="22"/>
          <w:szCs w:val="22"/>
        </w:rPr>
        <w:fldChar w:fldCharType="separate"/>
      </w:r>
      <w:r w:rsidR="00D85DA0" w:rsidRPr="00210A53">
        <w:rPr>
          <w:rFonts w:ascii="Arial" w:hAnsi="Arial" w:cs="Arial"/>
          <w:sz w:val="22"/>
          <w:szCs w:val="22"/>
        </w:rPr>
        <w:t>Alvis</w:t>
      </w:r>
      <w:r w:rsidR="00073909" w:rsidRPr="00210A53">
        <w:rPr>
          <w:rFonts w:ascii="Arial" w:hAnsi="Arial" w:cs="Arial"/>
          <w:sz w:val="22"/>
          <w:szCs w:val="22"/>
        </w:rPr>
        <w:t xml:space="preserve"> y </w:t>
      </w:r>
      <w:r w:rsidR="00D85DA0" w:rsidRPr="00210A53">
        <w:rPr>
          <w:rFonts w:ascii="Arial" w:hAnsi="Arial" w:cs="Arial"/>
          <w:sz w:val="22"/>
          <w:szCs w:val="22"/>
        </w:rPr>
        <w:t>Valenzuela (2010)</w:t>
      </w:r>
      <w:r w:rsidR="00D85DA0" w:rsidRPr="00210A53">
        <w:rPr>
          <w:rFonts w:ascii="Arial" w:hAnsi="Arial" w:cs="Arial"/>
          <w:sz w:val="22"/>
          <w:szCs w:val="22"/>
        </w:rPr>
        <w:fldChar w:fldCharType="end"/>
      </w:r>
      <w:r w:rsidR="005B08FD" w:rsidRPr="00210A53">
        <w:rPr>
          <w:rFonts w:ascii="Arial" w:hAnsi="Arial" w:cs="Arial"/>
          <w:sz w:val="22"/>
          <w:szCs w:val="22"/>
        </w:rPr>
        <w:t xml:space="preserve">, </w:t>
      </w:r>
      <w:r w:rsidR="00D85DA0" w:rsidRPr="00210A53">
        <w:rPr>
          <w:rFonts w:ascii="Arial" w:hAnsi="Arial" w:cs="Arial"/>
          <w:sz w:val="22"/>
          <w:szCs w:val="22"/>
        </w:rPr>
        <w:fldChar w:fldCharType="begin" w:fldLock="1"/>
      </w:r>
      <w:r w:rsidR="00C55B87" w:rsidRPr="00210A53">
        <w:rPr>
          <w:rFonts w:ascii="Arial" w:hAnsi="Arial" w:cs="Arial"/>
          <w:sz w:val="22"/>
          <w:szCs w:val="22"/>
        </w:rPr>
        <w:instrText>ADDIN CSL_CITATION { "citationItems" : [ { "id" : "ITEM-1", "itemData" : { "editor" : [ { "dropping-particle" : "", "family" : "Mathers", "given" : "Colin", "non-dropping-particle" : "", "parse-names" : false, "suffix" : "" }, { "dropping-particle" : "", "family" : "Vos", "given" : "THeo", "non-dropping-particle" : "", "parse-names" : false, "suffix" : "" }, { "dropping-particle" : "", "family" : "Lopez", "given" : "Alan", "non-dropping-particle" : "", "parse-names" : false, "suffix" : "" }, { "dropping-particle" : "", "family" : "Salomon", "given" : "Josh", "non-dropping-particle" : "", "parse-names" : false, "suffix" : "" }, { "dropping-particle" : "", "family" : "Ezzati", "given" : "Majid", "non-dropping-particle" : "", "parse-names" : false, "suffix" : "" } ], "id" : "ITEM-1", "issued" : { "date-parts" : [ [ "2001" ] ] }, "publisher" : "Organizaci\u00f3n Mundial de la Salud", "publisher-place" : "Giinebra, Suiza", "title" : "National Burden of Disease Studies: A Practical Guide. Edition 2.0", "type" : "book" }, "uris" : [ "http://www.mendeley.com/documents/?uuid=93efaa13-0271-4d8d-b569-cd766b3b6008" ] } ], "mendeley" : { "formattedCitation" : "(Mathers et al. 2001)", "manualFormatting" : "Mathers et al. (2001)", "plainTextFormattedCitation" : "(Mathers et al. 2001)", "previouslyFormattedCitation" : "(Mathers et al. 2001)" }, "properties" : { "noteIndex" : 0 }, "schema" : "https://github.com/citation-style-language/schema/raw/master/csl-citation.json" }</w:instrText>
      </w:r>
      <w:r w:rsidR="00D85DA0" w:rsidRPr="00210A53">
        <w:rPr>
          <w:rFonts w:ascii="Arial" w:hAnsi="Arial" w:cs="Arial"/>
          <w:sz w:val="22"/>
          <w:szCs w:val="22"/>
        </w:rPr>
        <w:fldChar w:fldCharType="separate"/>
      </w:r>
      <w:r w:rsidR="00D85DA0" w:rsidRPr="00210A53">
        <w:rPr>
          <w:rFonts w:ascii="Arial" w:hAnsi="Arial" w:cs="Arial"/>
          <w:sz w:val="22"/>
          <w:szCs w:val="22"/>
        </w:rPr>
        <w:t>Mathers et al. (2001)</w:t>
      </w:r>
      <w:r w:rsidR="00D85DA0" w:rsidRPr="00210A53">
        <w:rPr>
          <w:rFonts w:ascii="Arial" w:hAnsi="Arial" w:cs="Arial"/>
          <w:sz w:val="22"/>
          <w:szCs w:val="22"/>
        </w:rPr>
        <w:fldChar w:fldCharType="end"/>
      </w:r>
      <w:r w:rsidR="00D85DA0" w:rsidRPr="00210A53">
        <w:rPr>
          <w:rFonts w:ascii="Arial" w:hAnsi="Arial" w:cs="Arial"/>
          <w:sz w:val="22"/>
          <w:szCs w:val="22"/>
        </w:rPr>
        <w:t xml:space="preserve"> </w:t>
      </w:r>
      <w:r w:rsidR="00C55B87" w:rsidRPr="00210A53">
        <w:rPr>
          <w:rFonts w:ascii="Arial" w:hAnsi="Arial" w:cs="Arial"/>
          <w:sz w:val="22"/>
          <w:szCs w:val="22"/>
        </w:rPr>
        <w:t xml:space="preserve">y </w:t>
      </w:r>
      <w:r w:rsidR="00C55B87" w:rsidRPr="00210A53">
        <w:rPr>
          <w:rFonts w:ascii="Arial" w:hAnsi="Arial" w:cs="Arial"/>
          <w:sz w:val="22"/>
          <w:szCs w:val="22"/>
        </w:rPr>
        <w:fldChar w:fldCharType="begin" w:fldLock="1"/>
      </w:r>
      <w:r w:rsidR="0046041E" w:rsidRPr="00210A53">
        <w:rPr>
          <w:rFonts w:ascii="Arial" w:hAnsi="Arial" w:cs="Arial"/>
          <w:sz w:val="22"/>
          <w:szCs w:val="22"/>
        </w:rPr>
        <w:instrText>ADDIN CSL_CITATION { "citationItems" : [ { "id" : "ITEM-1", "itemData" : { "editor" : [ { "dropping-particle" : "", "family" : "Tan-Torres Edejer", "given" : "T", "non-dropping-particle" : "", "parse-names" : false, "suffix" : "" }, { "dropping-particle" : "", "family" : "Baltussen", "given" : "R.", "non-dropping-particle" : "", "parse-names" : false, "suffix" : "" }, { "dropping-particle" : "", "family" : "Adam", "given" : "T", "non-dropping-particle" : "", "parse-names" : false, "suffix" : "" }, { "dropping-particle" : "", "family" : "Hutubessy", "given" : "R", "non-dropping-particle" : "", "parse-names" : false, "suffix" : "" }, { "dropping-particle" : "", "family" : "Acharya", "given" : "A.", "non-dropping-particle" : "", "parse-names" : false, "suffix" : "" }, { "dropping-particle" : "", "family" : "Evans", "given" : "D.B.", "non-dropping-particle" : "", "parse-names" : false, "suffix" : "" }, { "dropping-particle" : "", "family" : "Murray", "given" : "C.J.L.", "non-dropping-particle" : "", "parse-names" : false, "suffix" : "" } ], "id" : "ITEM-1", "issued" : { "date-parts" : [ [ "2003" ] ] }, "publisher" : "Organizaci\u00f3n Mundial de la Salud", "publisher-place" : "Ginebra, Suiza", "title" : "Making Choices in Health:WHO Guide to Cost-Effectiveness Analysis", "type" : "book" }, "uris" : [ "http://www.mendeley.com/documents/?uuid=25a26c8b-dbda-4a68-ae1c-4aef5e08e5d1" ] } ], "mendeley" : { "formattedCitation" : "(Tan-Torres Edejer et al. 2003)", "manualFormatting" : "Tan-Torres Edeker et al. (2003)", "plainTextFormattedCitation" : "(Tan-Torres Edejer et al. 2003)", "previouslyFormattedCitation" : "(Tan-Torres Edejer et al. 2003)" }, "properties" : { "noteIndex" : 0 }, "schema" : "https://github.com/citation-style-language/schema/raw/master/csl-citation.json" }</w:instrText>
      </w:r>
      <w:r w:rsidR="00C55B87" w:rsidRPr="00210A53">
        <w:rPr>
          <w:rFonts w:ascii="Arial" w:hAnsi="Arial" w:cs="Arial"/>
          <w:sz w:val="22"/>
          <w:szCs w:val="22"/>
        </w:rPr>
        <w:fldChar w:fldCharType="separate"/>
      </w:r>
      <w:r w:rsidR="00C55B87" w:rsidRPr="00210A53">
        <w:rPr>
          <w:rFonts w:ascii="Arial" w:hAnsi="Arial" w:cs="Arial"/>
          <w:sz w:val="22"/>
          <w:szCs w:val="22"/>
        </w:rPr>
        <w:t>Tan-Torres Edeker et al. (2003)</w:t>
      </w:r>
      <w:r w:rsidR="00C55B87" w:rsidRPr="00210A53">
        <w:rPr>
          <w:rFonts w:ascii="Arial" w:hAnsi="Arial" w:cs="Arial"/>
          <w:sz w:val="22"/>
          <w:szCs w:val="22"/>
        </w:rPr>
        <w:fldChar w:fldCharType="end"/>
      </w:r>
      <w:r w:rsidRPr="00210A53">
        <w:rPr>
          <w:rFonts w:ascii="Arial" w:hAnsi="Arial" w:cs="Arial"/>
          <w:sz w:val="22"/>
          <w:szCs w:val="22"/>
        </w:rPr>
        <w:t xml:space="preserve">, entre muchos otras referencias, los </w:t>
      </w:r>
      <w:proofErr w:type="spellStart"/>
      <w:r w:rsidRPr="00210A53">
        <w:rPr>
          <w:rFonts w:ascii="Arial" w:hAnsi="Arial" w:cs="Arial"/>
          <w:sz w:val="22"/>
          <w:szCs w:val="22"/>
        </w:rPr>
        <w:t>AVAD</w:t>
      </w:r>
      <w:r w:rsidR="000C5214" w:rsidRPr="00210A53">
        <w:rPr>
          <w:rFonts w:ascii="Arial" w:hAnsi="Arial" w:cs="Arial"/>
          <w:sz w:val="22"/>
          <w:szCs w:val="22"/>
        </w:rPr>
        <w:t>s</w:t>
      </w:r>
      <w:proofErr w:type="spellEnd"/>
      <w:r w:rsidRPr="00210A53">
        <w:rPr>
          <w:rFonts w:ascii="Arial" w:hAnsi="Arial" w:cs="Arial"/>
          <w:sz w:val="22"/>
          <w:szCs w:val="22"/>
        </w:rPr>
        <w:t xml:space="preserve"> resumen, mediante estudios de carga de la enfermedad, el impacto de la mortalidad y discapacidad asociada a enfermedades específicas, en distintas comunidades; los AVAD son comúnmente utilizados como medidas de resultado en los estudios de evaluación económica midiendo el impacto de acciones o intervenciones específicas para reve</w:t>
      </w:r>
      <w:r w:rsidR="005B08FD" w:rsidRPr="00210A53">
        <w:rPr>
          <w:rFonts w:ascii="Arial" w:hAnsi="Arial" w:cs="Arial"/>
          <w:sz w:val="22"/>
          <w:szCs w:val="22"/>
        </w:rPr>
        <w:t xml:space="preserve">rtir la carga de la enfermedad. </w:t>
      </w:r>
      <w:r w:rsidRPr="00210A53">
        <w:rPr>
          <w:rFonts w:ascii="Arial" w:hAnsi="Arial" w:cs="Arial"/>
          <w:sz w:val="22"/>
          <w:szCs w:val="22"/>
        </w:rPr>
        <w:t xml:space="preserve">Su carácter genérico permite comparar el impacto de intervenciones de salud </w:t>
      </w:r>
      <w:r w:rsidR="000C5214" w:rsidRPr="00210A53">
        <w:rPr>
          <w:rFonts w:ascii="Arial" w:hAnsi="Arial" w:cs="Arial"/>
          <w:sz w:val="22"/>
          <w:szCs w:val="22"/>
        </w:rPr>
        <w:t>enfocados en atender</w:t>
      </w:r>
      <w:r w:rsidRPr="00210A53">
        <w:rPr>
          <w:rFonts w:ascii="Arial" w:hAnsi="Arial" w:cs="Arial"/>
          <w:sz w:val="22"/>
          <w:szCs w:val="22"/>
        </w:rPr>
        <w:t xml:space="preserve"> diferentes enfermedades.</w:t>
      </w:r>
    </w:p>
    <w:p w14:paraId="5A0A3966" w14:textId="77777777" w:rsidR="00F00286" w:rsidRPr="00210A53" w:rsidRDefault="00F00286" w:rsidP="001025F1">
      <w:pPr>
        <w:spacing w:before="120" w:after="100" w:afterAutospacing="1"/>
        <w:contextualSpacing/>
        <w:jc w:val="both"/>
        <w:rPr>
          <w:rFonts w:ascii="Arial" w:hAnsi="Arial" w:cs="Arial"/>
          <w:sz w:val="22"/>
          <w:szCs w:val="22"/>
        </w:rPr>
      </w:pPr>
    </w:p>
    <w:p w14:paraId="6A1D7E9C" w14:textId="5C3E23B7" w:rsidR="00890E4E" w:rsidRPr="002A447A" w:rsidRDefault="00FE36C0" w:rsidP="00890E4E">
      <w:pPr>
        <w:spacing w:before="120" w:after="100" w:afterAutospacing="1"/>
        <w:contextualSpacing/>
        <w:jc w:val="both"/>
        <w:rPr>
          <w:rFonts w:ascii="Arial" w:hAnsi="Arial" w:cs="Arial"/>
          <w:sz w:val="22"/>
          <w:szCs w:val="22"/>
        </w:rPr>
      </w:pPr>
      <w:r w:rsidRPr="00210A53">
        <w:rPr>
          <w:rFonts w:ascii="Arial" w:hAnsi="Arial" w:cs="Arial"/>
          <w:sz w:val="22"/>
          <w:szCs w:val="22"/>
        </w:rPr>
        <w:t xml:space="preserve">De acuerdo a la metodología original, el cálculo de los </w:t>
      </w:r>
      <w:proofErr w:type="spellStart"/>
      <w:r w:rsidRPr="00210A53">
        <w:rPr>
          <w:rFonts w:ascii="Arial" w:hAnsi="Arial" w:cs="Arial"/>
          <w:sz w:val="22"/>
          <w:szCs w:val="22"/>
        </w:rPr>
        <w:t>AVADs</w:t>
      </w:r>
      <w:proofErr w:type="spellEnd"/>
      <w:r w:rsidRPr="00210A53">
        <w:rPr>
          <w:rFonts w:ascii="Arial" w:hAnsi="Arial" w:cs="Arial"/>
          <w:sz w:val="22"/>
          <w:szCs w:val="22"/>
        </w:rPr>
        <w:t xml:space="preserve"> requiere ponderar los años vividos a cada </w:t>
      </w:r>
      <w:r w:rsidRPr="00CC78EA">
        <w:rPr>
          <w:rFonts w:ascii="Arial" w:hAnsi="Arial" w:cs="Arial"/>
          <w:sz w:val="22"/>
          <w:szCs w:val="22"/>
        </w:rPr>
        <w:t>edad (</w:t>
      </w:r>
      <w:r w:rsidR="00917F3C" w:rsidRPr="00CC78EA">
        <w:rPr>
          <w:rFonts w:ascii="Arial" w:hAnsi="Arial" w:cs="Arial"/>
          <w:sz w:val="22"/>
          <w:szCs w:val="22"/>
        </w:rPr>
        <w:fldChar w:fldCharType="begin"/>
      </w:r>
      <w:r w:rsidR="00917F3C" w:rsidRPr="00CC78EA">
        <w:rPr>
          <w:rFonts w:ascii="Arial" w:hAnsi="Arial" w:cs="Arial"/>
          <w:sz w:val="22"/>
          <w:szCs w:val="22"/>
        </w:rPr>
        <w:instrText xml:space="preserve"> REF _Ref296067896 \h </w:instrText>
      </w:r>
      <w:r w:rsidR="000B185D" w:rsidRPr="00CC78EA">
        <w:rPr>
          <w:rFonts w:ascii="Arial" w:hAnsi="Arial" w:cs="Arial"/>
          <w:sz w:val="22"/>
          <w:szCs w:val="22"/>
        </w:rPr>
        <w:instrText xml:space="preserve"> \* MERGEFORMAT </w:instrText>
      </w:r>
      <w:r w:rsidR="00917F3C" w:rsidRPr="00CC78EA">
        <w:rPr>
          <w:rFonts w:ascii="Arial" w:hAnsi="Arial" w:cs="Arial"/>
          <w:sz w:val="22"/>
          <w:szCs w:val="22"/>
        </w:rPr>
      </w:r>
      <w:r w:rsidR="00917F3C" w:rsidRPr="00CC78EA">
        <w:rPr>
          <w:rFonts w:ascii="Arial" w:hAnsi="Arial" w:cs="Arial"/>
          <w:sz w:val="22"/>
          <w:szCs w:val="22"/>
        </w:rPr>
        <w:fldChar w:fldCharType="separate"/>
      </w:r>
      <w:r w:rsidR="00987350" w:rsidRPr="00CC78EA">
        <w:rPr>
          <w:rFonts w:ascii="Arial" w:hAnsi="Arial" w:cs="Arial"/>
          <w:noProof/>
          <w:sz w:val="22"/>
          <w:szCs w:val="22"/>
        </w:rPr>
        <w:t>Figura</w:t>
      </w:r>
      <w:r w:rsidR="00987350" w:rsidRPr="00CC78EA">
        <w:rPr>
          <w:rFonts w:ascii="Arial" w:hAnsi="Arial" w:cs="Arial"/>
          <w:sz w:val="22"/>
          <w:szCs w:val="22"/>
        </w:rPr>
        <w:t xml:space="preserve"> </w:t>
      </w:r>
      <w:r w:rsidR="00987350" w:rsidRPr="00CC78EA">
        <w:rPr>
          <w:rFonts w:ascii="Arial" w:hAnsi="Arial" w:cs="Arial"/>
          <w:noProof/>
          <w:sz w:val="22"/>
          <w:szCs w:val="22"/>
        </w:rPr>
        <w:t>1</w:t>
      </w:r>
      <w:r w:rsidR="00917F3C" w:rsidRPr="00CC78EA">
        <w:rPr>
          <w:rFonts w:ascii="Arial" w:hAnsi="Arial" w:cs="Arial"/>
          <w:sz w:val="22"/>
          <w:szCs w:val="22"/>
        </w:rPr>
        <w:fldChar w:fldCharType="end"/>
      </w:r>
      <w:r w:rsidRPr="00CC78EA">
        <w:rPr>
          <w:rFonts w:ascii="Arial" w:hAnsi="Arial" w:cs="Arial"/>
          <w:sz w:val="22"/>
          <w:szCs w:val="22"/>
        </w:rPr>
        <w:t>), lo</w:t>
      </w:r>
      <w:r w:rsidRPr="00210A53">
        <w:rPr>
          <w:rFonts w:ascii="Arial" w:hAnsi="Arial" w:cs="Arial"/>
          <w:sz w:val="22"/>
          <w:szCs w:val="22"/>
        </w:rPr>
        <w:t xml:space="preserve"> cual se sustenta por el hecho de que en los años medios de la vida, las personas no sólo sostienen económicame</w:t>
      </w:r>
      <w:r w:rsidR="000C5214" w:rsidRPr="00210A53">
        <w:rPr>
          <w:rFonts w:ascii="Arial" w:hAnsi="Arial" w:cs="Arial"/>
          <w:sz w:val="22"/>
          <w:szCs w:val="22"/>
        </w:rPr>
        <w:t>nte a los más jóvenes y adultos mayores</w:t>
      </w:r>
      <w:r w:rsidRPr="00210A53">
        <w:rPr>
          <w:rFonts w:ascii="Arial" w:hAnsi="Arial" w:cs="Arial"/>
          <w:sz w:val="22"/>
          <w:szCs w:val="22"/>
        </w:rPr>
        <w:t>, sino que realizan una serie de funciones sociales que repercuten favorablemente en la salud de los individuos de otras edades</w:t>
      </w:r>
      <w:r w:rsidR="000C5214" w:rsidRPr="00210A53">
        <w:rPr>
          <w:rFonts w:ascii="Arial" w:hAnsi="Arial" w:cs="Arial"/>
          <w:sz w:val="22"/>
          <w:szCs w:val="22"/>
        </w:rPr>
        <w:t xml:space="preserve"> (por ejemplo, proveer cuidados a niños y adultos mayores)</w:t>
      </w:r>
      <w:r w:rsidRPr="00210A53">
        <w:rPr>
          <w:rFonts w:ascii="Arial" w:hAnsi="Arial" w:cs="Arial"/>
          <w:sz w:val="22"/>
          <w:szCs w:val="22"/>
        </w:rPr>
        <w:t xml:space="preserve">. Para una explicación detallada sobre la metodología de </w:t>
      </w:r>
      <w:proofErr w:type="spellStart"/>
      <w:r w:rsidRPr="00210A53">
        <w:rPr>
          <w:rFonts w:ascii="Arial" w:hAnsi="Arial" w:cs="Arial"/>
          <w:sz w:val="22"/>
          <w:szCs w:val="22"/>
        </w:rPr>
        <w:t>AVAD</w:t>
      </w:r>
      <w:r w:rsidR="000C5214" w:rsidRPr="00210A53">
        <w:rPr>
          <w:rFonts w:ascii="Arial" w:hAnsi="Arial" w:cs="Arial"/>
          <w:sz w:val="22"/>
          <w:szCs w:val="22"/>
        </w:rPr>
        <w:t>s</w:t>
      </w:r>
      <w:proofErr w:type="spellEnd"/>
      <w:r w:rsidRPr="00210A53">
        <w:rPr>
          <w:rFonts w:ascii="Arial" w:hAnsi="Arial" w:cs="Arial"/>
          <w:sz w:val="22"/>
          <w:szCs w:val="22"/>
        </w:rPr>
        <w:t xml:space="preserve"> se recomienda ver el capítulo 3 de la Guía Práctica para Estudios Nacionales de Carga de Enfermedad </w:t>
      </w:r>
      <w:r w:rsidR="0046041E" w:rsidRPr="00210A53">
        <w:rPr>
          <w:rFonts w:ascii="Arial" w:hAnsi="Arial" w:cs="Arial"/>
          <w:sz w:val="22"/>
          <w:szCs w:val="22"/>
        </w:rPr>
        <w:fldChar w:fldCharType="begin" w:fldLock="1"/>
      </w:r>
      <w:r w:rsidR="0046041E" w:rsidRPr="00210A53">
        <w:rPr>
          <w:rFonts w:ascii="Arial" w:hAnsi="Arial" w:cs="Arial"/>
          <w:sz w:val="22"/>
          <w:szCs w:val="22"/>
        </w:rPr>
        <w:instrText>ADDIN CSL_CITATION { "citationItems" : [ { "id" : "ITEM-1", "itemData" : { "editor" : [ { "dropping-particle" : "", "family" : "Mathers", "given" : "Colin", "non-dropping-particle" : "", "parse-names" : false, "suffix" : "" }, { "dropping-particle" : "", "family" : "Vos", "given" : "THeo", "non-dropping-particle" : "", "parse-names" : false, "suffix" : "" }, { "dropping-particle" : "", "family" : "Lopez", "given" : "Alan", "non-dropping-particle" : "", "parse-names" : false, "suffix" : "" }, { "dropping-particle" : "", "family" : "Salomon", "given" : "Josh", "non-dropping-particle" : "", "parse-names" : false, "suffix" : "" }, { "dropping-particle" : "", "family" : "Ezzati", "given" : "Majid", "non-dropping-particle" : "", "parse-names" : false, "suffix" : "" } ], "id" : "ITEM-1", "issued" : { "date-parts" : [ [ "2001" ] ] }, "publisher" : "Organizaci\u00f3n Mundial de la Salud", "publisher-place" : "Giinebra, Suiza", "title" : "National Burden of Disease Studies: A Practical Guide. Edition 2.0", "type" : "book" }, "uris" : [ "http://www.mendeley.com/documents/?uuid=93efaa13-0271-4d8d-b569-cd766b3b6008" ] } ], "mendeley" : { "formattedCitation" : "(Mathers et al. 2001)", "plainTextFormattedCitation" : "(Mathers et al. 2001)", "previouslyFormattedCitation" : "(Mathers et al. 2001)" }, "properties" : { "noteIndex" : 0 }, "schema" : "https://github.com/citation-style-language/schema/raw/master/csl-citation.json" }</w:instrText>
      </w:r>
      <w:r w:rsidR="0046041E" w:rsidRPr="00210A53">
        <w:rPr>
          <w:rFonts w:ascii="Arial" w:hAnsi="Arial" w:cs="Arial"/>
          <w:sz w:val="22"/>
          <w:szCs w:val="22"/>
        </w:rPr>
        <w:fldChar w:fldCharType="separate"/>
      </w:r>
      <w:r w:rsidR="0046041E" w:rsidRPr="00210A53">
        <w:rPr>
          <w:rFonts w:ascii="Arial" w:hAnsi="Arial" w:cs="Arial"/>
          <w:sz w:val="22"/>
          <w:szCs w:val="22"/>
        </w:rPr>
        <w:t>(Mathers et al. 2001)</w:t>
      </w:r>
      <w:r w:rsidR="0046041E" w:rsidRPr="00210A53">
        <w:rPr>
          <w:rFonts w:ascii="Arial" w:hAnsi="Arial" w:cs="Arial"/>
          <w:sz w:val="22"/>
          <w:szCs w:val="22"/>
        </w:rPr>
        <w:fldChar w:fldCharType="end"/>
      </w:r>
      <w:r w:rsidR="00106632" w:rsidRPr="00210A53">
        <w:rPr>
          <w:rFonts w:ascii="Arial" w:hAnsi="Arial" w:cs="Arial"/>
          <w:sz w:val="22"/>
          <w:szCs w:val="22"/>
        </w:rPr>
        <w:t xml:space="preserve"> </w:t>
      </w:r>
      <w:r w:rsidRPr="00210A53">
        <w:rPr>
          <w:rFonts w:ascii="Arial" w:hAnsi="Arial" w:cs="Arial"/>
          <w:sz w:val="22"/>
          <w:szCs w:val="22"/>
        </w:rPr>
        <w:t xml:space="preserve">así como el texto de </w:t>
      </w:r>
      <w:r w:rsidR="00E73783" w:rsidRPr="00210A53">
        <w:rPr>
          <w:rFonts w:ascii="Arial" w:hAnsi="Arial" w:cs="Arial"/>
          <w:sz w:val="22"/>
          <w:szCs w:val="22"/>
        </w:rPr>
        <w:fldChar w:fldCharType="begin" w:fldLock="1"/>
      </w:r>
      <w:r w:rsidR="00180E1B" w:rsidRPr="00210A53">
        <w:rPr>
          <w:rFonts w:ascii="Arial" w:hAnsi="Arial" w:cs="Arial"/>
          <w:sz w:val="22"/>
          <w:szCs w:val="22"/>
        </w:rPr>
        <w:instrText>ADDIN CSL_CITATION { "citationItems" : [ { "id" : "ITEM-1", "itemData" : { "DOI" : "10.4067/S0034-98872010001000005", "ISSN" : "0034-9887", "author" : [ { "dropping-particle" : "", "family" : "Alvis", "given" : "Nelson", "non-dropping-particle" : "", "parse-names" : false, "suffix" : "" }, { "dropping-particle" : "", "family" : "Valenzuela", "given" : "Mar\u00eda Teresa", "non-dropping-particle" : "", "parse-names" : false, "suffix" : "" } ], "container-title" : "Revista m\u00e9dica de Chile", "id" : "ITEM-1", "issued" : { "date-parts" : [ [ "2010", "9" ] ] }, "page" : "83-87", "publisher" : "Sociedad M\u00e9dica de Santiago", "title" : "Los QALYs y DALYs como indicadores sint\u00e9ticos de salud", "type" : "article-journal", "volume" : "138" }, "uris" : [ "http://www.mendeley.com/documents/?uuid=1d14ce35-712c-4909-bd3b-a2eecdfe3e42" ] } ], "mendeley" : { "formattedCitation" : "(Alvis and Valenzuela 2010)", "manualFormatting" : "Alvis y Valenzuela (2010)", "plainTextFormattedCitation" : "(Alvis and Valenzuela 2010)", "previouslyFormattedCitation" : "(Alvis and Valenzuela 2010)" }, "properties" : { "noteIndex" : 0 }, "schema" : "https://github.com/citation-style-language/schema/raw/master/csl-citation.json" }</w:instrText>
      </w:r>
      <w:r w:rsidR="00E73783" w:rsidRPr="00210A53">
        <w:rPr>
          <w:rFonts w:ascii="Arial" w:hAnsi="Arial" w:cs="Arial"/>
          <w:sz w:val="22"/>
          <w:szCs w:val="22"/>
        </w:rPr>
        <w:fldChar w:fldCharType="separate"/>
      </w:r>
      <w:r w:rsidR="00E73783" w:rsidRPr="00210A53">
        <w:rPr>
          <w:rFonts w:ascii="Arial" w:hAnsi="Arial" w:cs="Arial"/>
          <w:sz w:val="22"/>
          <w:szCs w:val="22"/>
        </w:rPr>
        <w:t>Alvis y Valenzuela (2010)</w:t>
      </w:r>
      <w:r w:rsidR="00E73783" w:rsidRPr="00210A53">
        <w:rPr>
          <w:rFonts w:ascii="Arial" w:hAnsi="Arial" w:cs="Arial"/>
          <w:sz w:val="22"/>
          <w:szCs w:val="22"/>
        </w:rPr>
        <w:fldChar w:fldCharType="end"/>
      </w:r>
      <w:r w:rsidR="00E73783" w:rsidRPr="00210A53">
        <w:rPr>
          <w:rFonts w:ascii="Arial" w:hAnsi="Arial" w:cs="Arial"/>
          <w:sz w:val="22"/>
          <w:szCs w:val="22"/>
        </w:rPr>
        <w:t xml:space="preserve"> </w:t>
      </w:r>
      <w:r w:rsidRPr="00210A53">
        <w:rPr>
          <w:rFonts w:ascii="Arial" w:hAnsi="Arial" w:cs="Arial"/>
          <w:sz w:val="22"/>
          <w:szCs w:val="22"/>
        </w:rPr>
        <w:t xml:space="preserve">y para un ejemplo de su aplicación detallado, se recomienda revisar </w:t>
      </w:r>
      <w:r w:rsidR="0046041E" w:rsidRPr="00210A53">
        <w:rPr>
          <w:rFonts w:ascii="Arial" w:hAnsi="Arial" w:cs="Arial"/>
          <w:sz w:val="22"/>
          <w:szCs w:val="22"/>
        </w:rPr>
        <w:fldChar w:fldCharType="begin" w:fldLock="1"/>
      </w:r>
      <w:r w:rsidR="00E73783" w:rsidRPr="00210A53">
        <w:rPr>
          <w:rFonts w:ascii="Arial" w:hAnsi="Arial" w:cs="Arial"/>
          <w:sz w:val="22"/>
          <w:szCs w:val="22"/>
        </w:rPr>
        <w:instrText>ADDIN CSL_CITATION { "citationItems" : [ { "id" : "ITEM-1", "itemData" : { "ISSN" : "0268-1080", "PMID" : "11527874", "abstract" : "Disability adjusted life years (DALYs) are the sum of the present value of future years of lifetime lost through premature mortality, and the present value of years of future lifetime adjusted for the average severity (frequency and intensity) of any mental or physical disability caused by a disease or injury. They have been used as an outcome indicator in micro economic evaluations as well as sectoral prioritization exercises using league tables of cost-effectiveness. However, many of the current analyses are not comparable or transferable because either the assumptions used differ or are unclear, and because results are not presented in a way that allows researchers or policy-makers to re-calculate and re-interpret findings for use in an alternative context. However, at times there have also been miscalculations. This may happen either because evaluators disagree with the assumptions behind DALYs or because the methods of calculation have not been set out clearly. This paper shows how to calculate DALYs for cost-effectiveness analysis using a worked example. It also shows the impact of changing the age weighting and discount rates on estimates of cost-effectiveness, and suggests a set of minimum reporting criteria for using DALYs in cost-effectiveness analysis. Finally, readers are introduced briefly to a selected literature arguing for and against the use of DALYs.", "author" : [ { "dropping-particle" : "", "family" : "Fox-Rushby", "given" : "J A", "non-dropping-particle" : "", "parse-names" : false, "suffix" : "" }, { "dropping-particle" : "", "family" : "Hanson", "given" : "K", "non-dropping-particle" : "", "parse-names" : false, "suffix" : "" } ], "container-title" : "Health policy and planning", "id" : "ITEM-1", "issue" : "3", "issued" : { "date-parts" : [ [ "2001", "9" ] ] }, "page" : "326-31", "title" : "Calculating and presenting disability adjusted life years (DALYs) in cost-effectiveness analysis.", "type" : "article-journal", "volume" : "16" }, "uris" : [ "http://www.mendeley.com/documents/?uuid=4661134f-192c-4cf3-945b-d4be155de855" ] } ], "mendeley" : { "formattedCitation" : "(Fox-Rushby and Hanson 2001)", "manualFormatting" : "Fox-Rushby y Hanson (2001)", "plainTextFormattedCitation" : "(Fox-Rushby and Hanson 2001)", "previouslyFormattedCitation" : "(Fox-Rushby and Hanson 2001)" }, "properties" : { "noteIndex" : 0 }, "schema" : "https://github.com/citation-style-language/schema/raw/master/csl-citation.json" }</w:instrText>
      </w:r>
      <w:r w:rsidR="0046041E" w:rsidRPr="00210A53">
        <w:rPr>
          <w:rFonts w:ascii="Arial" w:hAnsi="Arial" w:cs="Arial"/>
          <w:sz w:val="22"/>
          <w:szCs w:val="22"/>
        </w:rPr>
        <w:fldChar w:fldCharType="separate"/>
      </w:r>
      <w:r w:rsidR="0046041E" w:rsidRPr="00210A53">
        <w:rPr>
          <w:rFonts w:ascii="Arial" w:hAnsi="Arial" w:cs="Arial"/>
          <w:sz w:val="22"/>
          <w:szCs w:val="22"/>
        </w:rPr>
        <w:t>Fox-Rushby y Hanson (2001)</w:t>
      </w:r>
      <w:r w:rsidR="0046041E" w:rsidRPr="00210A53">
        <w:rPr>
          <w:rFonts w:ascii="Arial" w:hAnsi="Arial" w:cs="Arial"/>
          <w:sz w:val="22"/>
          <w:szCs w:val="22"/>
        </w:rPr>
        <w:fldChar w:fldCharType="end"/>
      </w:r>
      <w:r w:rsidR="00E73783" w:rsidRPr="00210A53">
        <w:rPr>
          <w:rFonts w:ascii="Arial" w:hAnsi="Arial" w:cs="Arial"/>
          <w:sz w:val="22"/>
          <w:szCs w:val="22"/>
        </w:rPr>
        <w:t>.</w:t>
      </w:r>
      <w:bookmarkStart w:id="26" w:name="_Ref296067896"/>
      <w:r w:rsidR="002A447A">
        <w:rPr>
          <w:rFonts w:ascii="Arial" w:hAnsi="Arial" w:cs="Arial"/>
          <w:sz w:val="22"/>
          <w:szCs w:val="22"/>
        </w:rPr>
        <w:t xml:space="preserve"> </w:t>
      </w:r>
    </w:p>
    <w:p w14:paraId="04E06C46" w14:textId="0268BE2A" w:rsidR="008C30C9" w:rsidRPr="00210A53" w:rsidRDefault="005E4A14" w:rsidP="00CC7653">
      <w:pPr>
        <w:pStyle w:val="Caption"/>
      </w:pPr>
      <w:r w:rsidRPr="00210A53">
        <w:rPr>
          <w:noProof/>
          <w:lang w:eastAsia="it-IT"/>
        </w:rPr>
        <w:drawing>
          <wp:anchor distT="0" distB="0" distL="114300" distR="114300" simplePos="0" relativeHeight="251658240" behindDoc="0" locked="0" layoutInCell="1" allowOverlap="1" wp14:anchorId="5F8A929A" wp14:editId="29AEB499">
            <wp:simplePos x="0" y="0"/>
            <wp:positionH relativeFrom="margin">
              <wp:align>center</wp:align>
            </wp:positionH>
            <wp:positionV relativeFrom="paragraph">
              <wp:posOffset>245745</wp:posOffset>
            </wp:positionV>
            <wp:extent cx="3648806" cy="237744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48806" cy="237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F3C" w:rsidRPr="00210A53">
        <w:t xml:space="preserve">Figura </w:t>
      </w:r>
      <w:r w:rsidR="00AA3C84" w:rsidRPr="00210A53">
        <w:fldChar w:fldCharType="begin"/>
      </w:r>
      <w:r w:rsidR="00AA3C84" w:rsidRPr="00210A53">
        <w:instrText xml:space="preserve"> SEQ Figura \* ARABIC </w:instrText>
      </w:r>
      <w:r w:rsidR="00AA3C84" w:rsidRPr="00210A53">
        <w:fldChar w:fldCharType="separate"/>
      </w:r>
      <w:r w:rsidR="00987350">
        <w:rPr>
          <w:noProof/>
        </w:rPr>
        <w:t>1</w:t>
      </w:r>
      <w:r w:rsidR="00AA3C84" w:rsidRPr="00210A53">
        <w:fldChar w:fldCharType="end"/>
      </w:r>
      <w:bookmarkEnd w:id="26"/>
      <w:r w:rsidR="00477FBF" w:rsidRPr="00210A53">
        <w:t xml:space="preserve">. </w:t>
      </w:r>
      <w:r w:rsidR="00FA34E2" w:rsidRPr="00210A53">
        <w:t>Valor relativo de un a</w:t>
      </w:r>
      <w:r w:rsidR="00FA34E2" w:rsidRPr="00210A53">
        <w:rPr>
          <w:rFonts w:eastAsia="Calibri"/>
        </w:rPr>
        <w:t>ño</w:t>
      </w:r>
      <w:r w:rsidR="00FA34E2" w:rsidRPr="00210A53">
        <w:t xml:space="preserve"> </w:t>
      </w:r>
      <w:r w:rsidR="00FA34E2" w:rsidRPr="00210A53">
        <w:rPr>
          <w:rFonts w:eastAsia="Calibri"/>
        </w:rPr>
        <w:t>de</w:t>
      </w:r>
      <w:r w:rsidR="00FA34E2" w:rsidRPr="00210A53">
        <w:t xml:space="preserve"> </w:t>
      </w:r>
      <w:r w:rsidR="00FA34E2" w:rsidRPr="00210A53">
        <w:rPr>
          <w:rFonts w:eastAsia="Calibri"/>
        </w:rPr>
        <w:t>la</w:t>
      </w:r>
      <w:r w:rsidR="00FA34E2" w:rsidRPr="00210A53">
        <w:t xml:space="preserve"> </w:t>
      </w:r>
      <w:r w:rsidR="00FA34E2" w:rsidRPr="00210A53">
        <w:rPr>
          <w:rFonts w:eastAsia="Calibri"/>
        </w:rPr>
        <w:t>vida</w:t>
      </w:r>
      <w:r w:rsidR="00FA34E2" w:rsidRPr="00210A53">
        <w:t xml:space="preserve"> </w:t>
      </w:r>
      <w:r w:rsidR="00FA34E2" w:rsidRPr="00210A53">
        <w:rPr>
          <w:rFonts w:eastAsia="Calibri"/>
        </w:rPr>
        <w:t>vivido</w:t>
      </w:r>
      <w:r w:rsidR="00FA34E2" w:rsidRPr="00210A53">
        <w:t xml:space="preserve"> </w:t>
      </w:r>
      <w:r w:rsidR="00FA34E2" w:rsidRPr="00210A53">
        <w:rPr>
          <w:rFonts w:eastAsia="Calibri"/>
        </w:rPr>
        <w:t>en</w:t>
      </w:r>
      <w:r w:rsidR="00FA34E2" w:rsidRPr="00210A53">
        <w:t xml:space="preserve"> </w:t>
      </w:r>
      <w:r w:rsidR="00FA34E2" w:rsidRPr="00210A53">
        <w:rPr>
          <w:rFonts w:eastAsia="Calibri"/>
        </w:rPr>
        <w:t>diversas</w:t>
      </w:r>
      <w:r w:rsidR="00FA34E2" w:rsidRPr="00210A53">
        <w:t xml:space="preserve"> </w:t>
      </w:r>
      <w:r w:rsidR="00FA34E2" w:rsidRPr="00210A53">
        <w:rPr>
          <w:rFonts w:eastAsia="Calibri"/>
        </w:rPr>
        <w:t>edades</w:t>
      </w:r>
      <w:r w:rsidR="00FA34E2" w:rsidRPr="00210A53">
        <w:t>,</w:t>
      </w:r>
      <w:r w:rsidR="00477FBF" w:rsidRPr="00210A53">
        <w:t xml:space="preserve"> seg</w:t>
      </w:r>
      <w:r w:rsidR="00477FBF" w:rsidRPr="00210A53">
        <w:rPr>
          <w:rFonts w:eastAsia="Calibri"/>
        </w:rPr>
        <w:t>ún</w:t>
      </w:r>
      <w:r w:rsidR="00477FBF" w:rsidRPr="00210A53">
        <w:t xml:space="preserve"> </w:t>
      </w:r>
      <w:r w:rsidR="00477FBF" w:rsidRPr="00210A53">
        <w:rPr>
          <w:rFonts w:eastAsia="Calibri"/>
        </w:rPr>
        <w:t>lo</w:t>
      </w:r>
      <w:r w:rsidR="00477FBF" w:rsidRPr="00210A53">
        <w:t xml:space="preserve"> </w:t>
      </w:r>
      <w:r w:rsidR="00477FBF" w:rsidRPr="00210A53">
        <w:rPr>
          <w:rFonts w:eastAsia="Calibri"/>
        </w:rPr>
        <w:t>ponderado</w:t>
      </w:r>
      <w:r w:rsidR="00477FBF" w:rsidRPr="00210A53">
        <w:t xml:space="preserve"> en </w:t>
      </w:r>
      <w:proofErr w:type="spellStart"/>
      <w:r w:rsidR="00477FBF" w:rsidRPr="00210A53">
        <w:t>AVADs</w:t>
      </w:r>
      <w:proofErr w:type="spellEnd"/>
    </w:p>
    <w:p w14:paraId="30A666B0" w14:textId="7203EFB0" w:rsidR="00FA34E2" w:rsidRPr="00210A53" w:rsidRDefault="00FA34E2" w:rsidP="00804C67">
      <w:pPr>
        <w:spacing w:before="240" w:after="100" w:afterAutospacing="1"/>
        <w:jc w:val="center"/>
        <w:rPr>
          <w:rFonts w:ascii="Arial" w:hAnsi="Arial" w:cs="Arial"/>
          <w:sz w:val="18"/>
          <w:szCs w:val="18"/>
        </w:rPr>
      </w:pPr>
      <w:r w:rsidRPr="00210A53">
        <w:rPr>
          <w:rFonts w:ascii="Arial" w:hAnsi="Arial" w:cs="Arial"/>
          <w:sz w:val="18"/>
          <w:szCs w:val="18"/>
        </w:rPr>
        <w:t xml:space="preserve">Fuente: </w:t>
      </w:r>
      <w:bookmarkStart w:id="27" w:name="t1"/>
      <w:bookmarkEnd w:id="27"/>
      <w:r w:rsidR="005F0471" w:rsidRPr="00210A53">
        <w:rPr>
          <w:rFonts w:ascii="Arial" w:hAnsi="Arial" w:cs="Arial"/>
          <w:sz w:val="18"/>
          <w:szCs w:val="18"/>
        </w:rPr>
        <w:fldChar w:fldCharType="begin" w:fldLock="1"/>
      </w:r>
      <w:r w:rsidR="00616D26" w:rsidRPr="00210A53">
        <w:rPr>
          <w:rFonts w:ascii="Arial" w:hAnsi="Arial" w:cs="Arial"/>
          <w:sz w:val="18"/>
          <w:szCs w:val="18"/>
        </w:rPr>
        <w:instrText>ADDIN CSL_CITATION { "citationItems" : [ { "id" : "ITEM-1", "itemData" : { "DOI" : "10.4067/S0034-98872010001000005", "ISSN" : "0034-9887", "author" : [ { "dropping-particle" : "", "family" : "Alvis", "given" : "Nelson", "non-dropping-particle" : "", "parse-names" : false, "suffix" : "" }, { "dropping-particle" : "", "family" : "Valenzuela", "given" : "Mar\u00eda Teresa", "non-dropping-particle" : "", "parse-names" : false, "suffix" : "" } ], "container-title" : "Revista m\u00e9dica de Chile", "id" : "ITEM-1", "issued" : { "date-parts" : [ [ "2010", "9" ] ] }, "page" : "83-87", "publisher" : "Sociedad M\u00e9dica de Santiago", "title" : "Los QALYs y DALYs como indicadores sint\u00e9ticos de salud", "type" : "article-journal", "volume" : "138" }, "uris" : [ "http://www.mendeley.com/documents/?uuid=1d14ce35-712c-4909-bd3b-a2eecdfe3e42" ] } ], "mendeley" : { "formattedCitation" : "(Alvis and Valenzuela 2010)", "manualFormatting" : "Alvis y Valenzuela 2010.", "plainTextFormattedCitation" : "(Alvis and Valenzuela 2010)", "previouslyFormattedCitation" : "(Alvis and Valenzuela 2010)" }, "properties" : { "noteIndex" : 0 }, "schema" : "https://github.com/citation-style-language/schema/raw/master/csl-citation.json" }</w:instrText>
      </w:r>
      <w:r w:rsidR="005F0471" w:rsidRPr="00210A53">
        <w:rPr>
          <w:rFonts w:ascii="Arial" w:hAnsi="Arial" w:cs="Arial"/>
          <w:sz w:val="18"/>
          <w:szCs w:val="18"/>
        </w:rPr>
        <w:fldChar w:fldCharType="separate"/>
      </w:r>
      <w:r w:rsidR="005F0471" w:rsidRPr="00210A53">
        <w:rPr>
          <w:rFonts w:ascii="Arial" w:hAnsi="Arial" w:cs="Arial"/>
          <w:sz w:val="18"/>
          <w:szCs w:val="18"/>
        </w:rPr>
        <w:t>Alvis</w:t>
      </w:r>
      <w:r w:rsidR="00CE70F0" w:rsidRPr="00210A53">
        <w:rPr>
          <w:rFonts w:ascii="Arial" w:hAnsi="Arial" w:cs="Arial"/>
          <w:sz w:val="18"/>
          <w:szCs w:val="18"/>
        </w:rPr>
        <w:t xml:space="preserve"> y </w:t>
      </w:r>
      <w:r w:rsidR="005F0471" w:rsidRPr="00210A53">
        <w:rPr>
          <w:rFonts w:ascii="Arial" w:hAnsi="Arial" w:cs="Arial"/>
          <w:sz w:val="18"/>
          <w:szCs w:val="18"/>
        </w:rPr>
        <w:t>Valenzuela 2010.</w:t>
      </w:r>
      <w:r w:rsidR="005F0471" w:rsidRPr="00210A53">
        <w:rPr>
          <w:rFonts w:ascii="Arial" w:hAnsi="Arial" w:cs="Arial"/>
          <w:sz w:val="18"/>
          <w:szCs w:val="18"/>
        </w:rPr>
        <w:fldChar w:fldCharType="end"/>
      </w:r>
    </w:p>
    <w:p w14:paraId="5465289D" w14:textId="39B66199" w:rsidR="005F61AC" w:rsidRPr="002A4E9F" w:rsidRDefault="000C5214" w:rsidP="001F2EBA">
      <w:pPr>
        <w:pStyle w:val="ColorfulList-Accent11"/>
        <w:spacing w:before="120" w:after="100" w:afterAutospacing="1"/>
        <w:ind w:left="-90"/>
        <w:jc w:val="both"/>
        <w:rPr>
          <w:rFonts w:cs="Arial"/>
        </w:rPr>
      </w:pPr>
      <w:r w:rsidRPr="00210A53">
        <w:rPr>
          <w:rFonts w:cs="Arial"/>
        </w:rPr>
        <w:t>En esta evaluación, s</w:t>
      </w:r>
      <w:r w:rsidR="00FE36C0" w:rsidRPr="00210A53">
        <w:rPr>
          <w:rFonts w:cs="Arial"/>
        </w:rPr>
        <w:t xml:space="preserve">e utiliza como fuente para calcular los </w:t>
      </w:r>
      <w:proofErr w:type="spellStart"/>
      <w:r w:rsidR="00FE36C0" w:rsidRPr="00210A53">
        <w:rPr>
          <w:rFonts w:cs="Arial"/>
        </w:rPr>
        <w:t>AVADs</w:t>
      </w:r>
      <w:proofErr w:type="spellEnd"/>
      <w:r w:rsidR="00FE36C0" w:rsidRPr="00210A53">
        <w:rPr>
          <w:rFonts w:cs="Arial"/>
        </w:rPr>
        <w:t xml:space="preserve"> las estimaciones disponibles en la literatura internacional. Una de las fuentes utilizadas es el programa CHOICE de la O</w:t>
      </w:r>
      <w:r w:rsidR="00180E1B" w:rsidRPr="00210A53">
        <w:rPr>
          <w:rFonts w:cs="Arial"/>
        </w:rPr>
        <w:t xml:space="preserve">rganización Mundial de la Salud </w:t>
      </w:r>
      <w:r w:rsidR="00180E1B" w:rsidRPr="00210A53">
        <w:rPr>
          <w:rFonts w:cs="Arial"/>
        </w:rPr>
        <w:fldChar w:fldCharType="begin" w:fldLock="1"/>
      </w:r>
      <w:r w:rsidR="00180E1B" w:rsidRPr="00210A53">
        <w:rPr>
          <w:rFonts w:cs="Arial"/>
        </w:rPr>
        <w:instrText>ADDIN CSL_CITATION { "citationItems" : [ { "id" : "ITEM-1", "itemData" : { "author" : [ { "dropping-particle" : "", "family" : "Organizaci\u00f3n Mundial de la Salud", "given" : "", "non-dropping-particle" : "", "parse-names" : false, "suffix" : "" } ], "id" : "ITEM-1", "issued" : { "date-parts" : [ [ "2015" ] ] }, "publisher" : "Organizaci\u00f3n Mundial de la Salud", "publisher-place" : "Ginebra, Suiza", "title" : "Cost effectiveness and strategic planning (WHO-CHOICE)", "type" : "article" }, "uris" : [ "http://www.mendeley.com/documents/?uuid=dd380e87-cfdc-4683-b24b-8c760371b7c2" ] } ], "mendeley" : { "formattedCitation" : "(Organizaci\u00f3n Mundial de la Salud 2015)", "manualFormatting" : "(2015)", "plainTextFormattedCitation" : "(Organizaci\u00f3n Mundial de la Salud 2015)", "previouslyFormattedCitation" : "(Organizaci\u00f3n Mundial de la Salud 2015)" }, "properties" : { "noteIndex" : 0 }, "schema" : "https://github.com/citation-style-language/schema/raw/master/csl-citation.json" }</w:instrText>
      </w:r>
      <w:r w:rsidR="00180E1B" w:rsidRPr="00210A53">
        <w:rPr>
          <w:rFonts w:cs="Arial"/>
        </w:rPr>
        <w:fldChar w:fldCharType="separate"/>
      </w:r>
      <w:r w:rsidR="00180E1B" w:rsidRPr="00210A53">
        <w:rPr>
          <w:rFonts w:cs="Arial"/>
        </w:rPr>
        <w:t>(2015)</w:t>
      </w:r>
      <w:r w:rsidR="00180E1B" w:rsidRPr="00210A53">
        <w:rPr>
          <w:rFonts w:cs="Arial"/>
        </w:rPr>
        <w:fldChar w:fldCharType="end"/>
      </w:r>
      <w:r w:rsidR="00FE36C0" w:rsidRPr="00210A53">
        <w:rPr>
          <w:rFonts w:cs="Arial"/>
        </w:rPr>
        <w:t>, que estima el efecto de la inclusión gradual de intervenciones en un paquete de servicios sobre la incidencia, remisión y mortalidad. En cuanto al grupo de país consider</w:t>
      </w:r>
      <w:r w:rsidR="002A4953" w:rsidRPr="00210A53">
        <w:rPr>
          <w:rFonts w:cs="Arial"/>
        </w:rPr>
        <w:t>ado, utilizam</w:t>
      </w:r>
      <w:r w:rsidR="005549D1" w:rsidRPr="00210A53">
        <w:rPr>
          <w:rFonts w:cs="Arial"/>
        </w:rPr>
        <w:t>os el de “Améri</w:t>
      </w:r>
      <w:r w:rsidR="00924347" w:rsidRPr="00210A53">
        <w:rPr>
          <w:rFonts w:cs="Arial"/>
        </w:rPr>
        <w:t>ca B</w:t>
      </w:r>
      <w:r w:rsidR="00FE36C0" w:rsidRPr="00210A53">
        <w:rPr>
          <w:rFonts w:cs="Arial"/>
        </w:rPr>
        <w:t>,” en el cual se encuentra agregada</w:t>
      </w:r>
      <w:r w:rsidR="00917F3C" w:rsidRPr="00210A53">
        <w:rPr>
          <w:rFonts w:cs="Arial"/>
        </w:rPr>
        <w:t xml:space="preserve"> la información de </w:t>
      </w:r>
      <w:r w:rsidR="00924347" w:rsidRPr="00210A53">
        <w:rPr>
          <w:rFonts w:cs="Arial"/>
        </w:rPr>
        <w:t xml:space="preserve">Brasil. </w:t>
      </w:r>
      <w:r w:rsidR="00244DE1" w:rsidRPr="00210A53">
        <w:rPr>
          <w:rFonts w:cs="Arial"/>
        </w:rPr>
        <w:t>Para las</w:t>
      </w:r>
      <w:r w:rsidR="009D29C1" w:rsidRPr="00210A53">
        <w:rPr>
          <w:rFonts w:cs="Arial"/>
        </w:rPr>
        <w:t xml:space="preserve"> intervenciones en</w:t>
      </w:r>
      <w:r w:rsidR="00FE36C0" w:rsidRPr="00210A53">
        <w:rPr>
          <w:rFonts w:cs="Arial"/>
        </w:rPr>
        <w:t xml:space="preserve"> las que no existe </w:t>
      </w:r>
      <w:r w:rsidR="009D29C1" w:rsidRPr="00210A53">
        <w:rPr>
          <w:rFonts w:cs="Arial"/>
        </w:rPr>
        <w:t>evidencia generada para</w:t>
      </w:r>
      <w:r w:rsidR="00FE36C0" w:rsidRPr="00210A53">
        <w:rPr>
          <w:rFonts w:cs="Arial"/>
        </w:rPr>
        <w:t xml:space="preserve"> los países de esta categoría, se utilizó la información para el nivel global. Se toman en cuenta las intervenciones de probada eficacia que serán incorporadas en las líneas de </w:t>
      </w:r>
      <w:r w:rsidR="00D136A9" w:rsidRPr="00210A53">
        <w:rPr>
          <w:rFonts w:cs="Arial"/>
        </w:rPr>
        <w:t>atención</w:t>
      </w:r>
      <w:r w:rsidR="00FE36C0" w:rsidRPr="00210A53">
        <w:rPr>
          <w:rFonts w:cs="Arial"/>
        </w:rPr>
        <w:t>.</w:t>
      </w:r>
      <w:r w:rsidR="008417EF" w:rsidRPr="00210A53">
        <w:rPr>
          <w:rFonts w:cs="Arial"/>
        </w:rPr>
        <w:t xml:space="preserve"> </w:t>
      </w:r>
      <w:r w:rsidR="00FE36C0" w:rsidRPr="00210A53">
        <w:rPr>
          <w:rFonts w:cs="Arial"/>
        </w:rPr>
        <w:t>Los</w:t>
      </w:r>
      <w:r w:rsidR="005E4A14" w:rsidRPr="00210A53">
        <w:rPr>
          <w:rFonts w:cs="Arial"/>
        </w:rPr>
        <w:t> </w:t>
      </w:r>
      <w:r w:rsidR="00FE36C0" w:rsidRPr="00210A53">
        <w:rPr>
          <w:rFonts w:cs="Arial"/>
        </w:rPr>
        <w:t>beneficios totales</w:t>
      </w:r>
      <w:r w:rsidR="00D136A9" w:rsidRPr="00210A53">
        <w:rPr>
          <w:rFonts w:cs="Arial"/>
        </w:rPr>
        <w:t xml:space="preserve"> en </w:t>
      </w:r>
      <w:proofErr w:type="spellStart"/>
      <w:r w:rsidR="00D136A9" w:rsidRPr="00210A53">
        <w:rPr>
          <w:rFonts w:cs="Arial"/>
        </w:rPr>
        <w:t>AVADs</w:t>
      </w:r>
      <w:proofErr w:type="spellEnd"/>
      <w:r w:rsidR="00D136A9" w:rsidRPr="00210A53">
        <w:rPr>
          <w:rFonts w:cs="Arial"/>
        </w:rPr>
        <w:t xml:space="preserve"> por cada millón de habitantes</w:t>
      </w:r>
      <w:r w:rsidR="00FE36C0" w:rsidRPr="00210A53">
        <w:rPr>
          <w:rFonts w:cs="Arial"/>
        </w:rPr>
        <w:t xml:space="preserve"> asociados a </w:t>
      </w:r>
      <w:r w:rsidR="00D136A9" w:rsidRPr="00210A53">
        <w:rPr>
          <w:rFonts w:cs="Arial"/>
        </w:rPr>
        <w:t xml:space="preserve">cada línea de atención </w:t>
      </w:r>
      <w:r w:rsidR="00FE36C0" w:rsidRPr="00210A53">
        <w:rPr>
          <w:rFonts w:cs="Arial"/>
        </w:rPr>
        <w:t xml:space="preserve">se presentan en </w:t>
      </w:r>
      <w:r w:rsidR="00477FBF" w:rsidRPr="00210A53">
        <w:rPr>
          <w:rFonts w:cs="Arial"/>
        </w:rPr>
        <w:t>la</w:t>
      </w:r>
      <w:r w:rsidR="00477FBF" w:rsidRPr="00210A53">
        <w:rPr>
          <w:rFonts w:cs="Arial"/>
        </w:rPr>
        <w:fldChar w:fldCharType="begin"/>
      </w:r>
      <w:r w:rsidR="00477FBF" w:rsidRPr="00210A53">
        <w:rPr>
          <w:rFonts w:cs="Arial"/>
        </w:rPr>
        <w:instrText xml:space="preserve"> REF _Ref285380310 \h </w:instrText>
      </w:r>
      <w:r w:rsidR="000B185D" w:rsidRPr="00210A53">
        <w:rPr>
          <w:rFonts w:cs="Arial"/>
        </w:rPr>
        <w:instrText xml:space="preserve"> \* MERGEFORMAT </w:instrText>
      </w:r>
      <w:r w:rsidR="00477FBF" w:rsidRPr="00210A53">
        <w:rPr>
          <w:rFonts w:cs="Arial"/>
        </w:rPr>
      </w:r>
      <w:r w:rsidR="00477FBF" w:rsidRPr="00210A53">
        <w:rPr>
          <w:rFonts w:cs="Arial"/>
        </w:rPr>
        <w:fldChar w:fldCharType="separate"/>
      </w:r>
      <w:r w:rsidR="002A4E9F">
        <w:rPr>
          <w:rFonts w:cs="Arial"/>
        </w:rPr>
        <w:t xml:space="preserve"> </w:t>
      </w:r>
      <w:r w:rsidR="00987350" w:rsidRPr="00987350">
        <w:rPr>
          <w:rFonts w:cs="Arial"/>
        </w:rPr>
        <w:t>Tabla</w:t>
      </w:r>
      <w:r w:rsidR="00987350" w:rsidRPr="00210A53">
        <w:t xml:space="preserve"> </w:t>
      </w:r>
      <w:r w:rsidR="00987350">
        <w:rPr>
          <w:noProof/>
        </w:rPr>
        <w:t>2</w:t>
      </w:r>
      <w:r w:rsidR="00477FBF" w:rsidRPr="00210A53">
        <w:rPr>
          <w:rFonts w:cs="Arial"/>
        </w:rPr>
        <w:fldChar w:fldCharType="end"/>
      </w:r>
      <w:r w:rsidR="00D136A9" w:rsidRPr="00210A53">
        <w:rPr>
          <w:rFonts w:cs="Arial"/>
        </w:rPr>
        <w:t>.</w:t>
      </w:r>
      <w:bookmarkStart w:id="28" w:name="_Ref285380310"/>
    </w:p>
    <w:p w14:paraId="19F7261C" w14:textId="77777777" w:rsidR="002A4E9F" w:rsidRDefault="002A4E9F">
      <w:pPr>
        <w:rPr>
          <w:rFonts w:ascii="Arial" w:eastAsia="Cambria" w:hAnsi="Arial" w:cs="Arial"/>
          <w:b/>
          <w:bCs/>
          <w:sz w:val="18"/>
          <w:szCs w:val="20"/>
          <w:lang w:val="es-ES_tradnl"/>
        </w:rPr>
      </w:pPr>
      <w:r>
        <w:br w:type="page"/>
      </w:r>
    </w:p>
    <w:p w14:paraId="7BB98874" w14:textId="24CAFA75" w:rsidR="005E4A14" w:rsidRDefault="005E4A14" w:rsidP="00CC7653">
      <w:pPr>
        <w:pStyle w:val="Caption"/>
      </w:pPr>
      <w:r w:rsidRPr="00210A53">
        <w:lastRenderedPageBreak/>
        <w:t xml:space="preserve">Tabla </w:t>
      </w:r>
      <w:r w:rsidRPr="00210A53">
        <w:fldChar w:fldCharType="begin"/>
      </w:r>
      <w:r w:rsidRPr="00210A53">
        <w:instrText xml:space="preserve"> SEQ Tabla \* ARABIC </w:instrText>
      </w:r>
      <w:r w:rsidRPr="00210A53">
        <w:fldChar w:fldCharType="separate"/>
      </w:r>
      <w:r w:rsidR="00987350">
        <w:rPr>
          <w:noProof/>
        </w:rPr>
        <w:t>2</w:t>
      </w:r>
      <w:r w:rsidRPr="00210A53">
        <w:fldChar w:fldCharType="end"/>
      </w:r>
      <w:bookmarkEnd w:id="28"/>
      <w:r w:rsidRPr="00210A53">
        <w:t>. Líneas de cuidado, intervenciones y efectividad en AVAD por millón</w:t>
      </w:r>
    </w:p>
    <w:p w14:paraId="334B12B4" w14:textId="77777777" w:rsidR="00B51E16" w:rsidRPr="00B51E16" w:rsidRDefault="00B51E16" w:rsidP="00B51E16">
      <w:pPr>
        <w:rPr>
          <w:lang w:val="es-ES_tradnl"/>
        </w:rPr>
      </w:pPr>
    </w:p>
    <w:p w14:paraId="502FAC8B" w14:textId="4B126381" w:rsidR="00976C04" w:rsidRPr="00210A53" w:rsidRDefault="005D4C0B" w:rsidP="00AA0897">
      <w:pPr>
        <w:jc w:val="center"/>
        <w:rPr>
          <w:rFonts w:ascii="Arial" w:hAnsi="Arial" w:cs="Arial"/>
          <w:sz w:val="18"/>
          <w:szCs w:val="16"/>
          <w:lang w:eastAsia="ko-KR"/>
        </w:rPr>
      </w:pPr>
      <w:r w:rsidRPr="00210A53">
        <w:rPr>
          <w:rFonts w:ascii="Arial" w:hAnsi="Arial" w:cs="Arial"/>
          <w:noProof/>
        </w:rPr>
        <w:drawing>
          <wp:inline distT="0" distB="0" distL="0" distR="0" wp14:anchorId="4AD5B592" wp14:editId="7708D898">
            <wp:extent cx="5943600" cy="5305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4691" cy="5306219"/>
                    </a:xfrm>
                    <a:prstGeom prst="rect">
                      <a:avLst/>
                    </a:prstGeom>
                    <a:noFill/>
                    <a:ln>
                      <a:noFill/>
                    </a:ln>
                  </pic:spPr>
                </pic:pic>
              </a:graphicData>
            </a:graphic>
          </wp:inline>
        </w:drawing>
      </w:r>
    </w:p>
    <w:p w14:paraId="7234EFAB" w14:textId="77777777" w:rsidR="00976C04" w:rsidRPr="00210A53" w:rsidRDefault="00976C04" w:rsidP="00675447">
      <w:pPr>
        <w:jc w:val="center"/>
        <w:rPr>
          <w:rFonts w:ascii="Arial" w:hAnsi="Arial" w:cs="Arial"/>
          <w:sz w:val="18"/>
          <w:szCs w:val="16"/>
          <w:lang w:eastAsia="ko-KR"/>
        </w:rPr>
      </w:pPr>
    </w:p>
    <w:p w14:paraId="7A4093F8" w14:textId="73DB7246" w:rsidR="00EE525F" w:rsidRPr="00210A53" w:rsidRDefault="00FA34E2" w:rsidP="00675447">
      <w:pPr>
        <w:jc w:val="center"/>
        <w:rPr>
          <w:rFonts w:ascii="Arial" w:hAnsi="Arial" w:cs="Arial"/>
          <w:sz w:val="28"/>
        </w:rPr>
      </w:pPr>
      <w:r w:rsidRPr="00210A53">
        <w:rPr>
          <w:rFonts w:ascii="Arial" w:hAnsi="Arial" w:cs="Arial"/>
          <w:sz w:val="18"/>
          <w:szCs w:val="16"/>
          <w:lang w:eastAsia="ko-KR"/>
        </w:rPr>
        <w:t xml:space="preserve">Fuente: elaboración propia a partir de referencias </w:t>
      </w:r>
      <w:r w:rsidR="00893637" w:rsidRPr="00210A53">
        <w:rPr>
          <w:rFonts w:ascii="Arial" w:hAnsi="Arial" w:cs="Arial"/>
          <w:sz w:val="18"/>
          <w:szCs w:val="16"/>
          <w:lang w:eastAsia="ko-KR"/>
        </w:rPr>
        <w:t>indicadas en la tabla</w:t>
      </w:r>
      <w:r w:rsidR="00AA3F6C" w:rsidRPr="00210A53">
        <w:rPr>
          <w:rFonts w:ascii="Arial" w:hAnsi="Arial" w:cs="Arial"/>
          <w:sz w:val="18"/>
          <w:szCs w:val="16"/>
          <w:lang w:eastAsia="ko-KR"/>
        </w:rPr>
        <w:t xml:space="preserve">; en el caso de WHO-CHOICE se toman como referencia los </w:t>
      </w:r>
      <w:r w:rsidR="0071130F" w:rsidRPr="00210A53">
        <w:rPr>
          <w:rFonts w:ascii="Arial" w:hAnsi="Arial" w:cs="Arial"/>
          <w:sz w:val="18"/>
          <w:szCs w:val="16"/>
          <w:lang w:eastAsia="ko-KR"/>
        </w:rPr>
        <w:t>valores para la región América B</w:t>
      </w:r>
      <w:r w:rsidR="00AA3F6C" w:rsidRPr="00210A53">
        <w:rPr>
          <w:rFonts w:ascii="Arial" w:hAnsi="Arial" w:cs="Arial"/>
          <w:sz w:val="18"/>
          <w:szCs w:val="16"/>
          <w:lang w:eastAsia="ko-KR"/>
        </w:rPr>
        <w:t xml:space="preserve">, que incluye </w:t>
      </w:r>
      <w:r w:rsidR="0071130F" w:rsidRPr="00210A53">
        <w:rPr>
          <w:rFonts w:ascii="Arial" w:hAnsi="Arial" w:cs="Arial"/>
          <w:sz w:val="18"/>
          <w:szCs w:val="16"/>
          <w:lang w:eastAsia="ko-KR"/>
        </w:rPr>
        <w:t>Brasil</w:t>
      </w:r>
      <w:r w:rsidR="0069527D" w:rsidRPr="00210A53">
        <w:rPr>
          <w:rFonts w:ascii="Arial" w:hAnsi="Arial" w:cs="Arial"/>
          <w:sz w:val="18"/>
          <w:szCs w:val="16"/>
          <w:lang w:eastAsia="ko-KR"/>
        </w:rPr>
        <w:t>.</w:t>
      </w:r>
    </w:p>
    <w:p w14:paraId="11422259" w14:textId="2B78DF55" w:rsidR="00CF0BC5" w:rsidRPr="00210A53" w:rsidRDefault="00CF0BC5" w:rsidP="00993C0D">
      <w:pPr>
        <w:pStyle w:val="Heading3"/>
        <w:numPr>
          <w:ilvl w:val="0"/>
          <w:numId w:val="0"/>
        </w:numPr>
        <w:rPr>
          <w:rFonts w:ascii="Arial" w:hAnsi="Arial" w:cs="Arial"/>
          <w:color w:val="auto"/>
        </w:rPr>
      </w:pPr>
      <w:bookmarkStart w:id="29" w:name="_Toc100512102"/>
      <w:bookmarkStart w:id="30" w:name="_Toc296257188"/>
      <w:bookmarkStart w:id="31" w:name="_Toc513465013"/>
      <w:r w:rsidRPr="00C5695F">
        <w:rPr>
          <w:rFonts w:ascii="Arial" w:hAnsi="Arial" w:cs="Arial"/>
          <w:color w:val="auto"/>
        </w:rPr>
        <w:t>Medida de</w:t>
      </w:r>
      <w:r w:rsidR="002A447A" w:rsidRPr="00C5695F">
        <w:rPr>
          <w:rFonts w:ascii="Arial" w:hAnsi="Arial" w:cs="Arial"/>
          <w:color w:val="auto"/>
        </w:rPr>
        <w:t xml:space="preserve"> transformación digital</w:t>
      </w:r>
      <w:bookmarkEnd w:id="29"/>
      <w:r w:rsidRPr="00210A53">
        <w:rPr>
          <w:rFonts w:ascii="Arial" w:hAnsi="Arial" w:cs="Arial"/>
          <w:color w:val="auto"/>
        </w:rPr>
        <w:t xml:space="preserve"> </w:t>
      </w:r>
    </w:p>
    <w:p w14:paraId="6C1D5A19" w14:textId="5E272E2C" w:rsidR="00137E91" w:rsidRDefault="00137E91" w:rsidP="00CF0BC5">
      <w:pPr>
        <w:rPr>
          <w:rFonts w:ascii="Arial" w:hAnsi="Arial" w:cs="Arial"/>
          <w:sz w:val="22"/>
          <w:szCs w:val="22"/>
          <w:lang w:eastAsia="ko-KR"/>
        </w:rPr>
      </w:pPr>
    </w:p>
    <w:p w14:paraId="0A3821A1" w14:textId="6DAAC6B3" w:rsidR="00487193" w:rsidRDefault="00002EB5" w:rsidP="00D72D0E">
      <w:pPr>
        <w:jc w:val="both"/>
        <w:rPr>
          <w:rFonts w:ascii="Arial" w:hAnsi="Arial" w:cs="Arial"/>
          <w:sz w:val="22"/>
          <w:szCs w:val="22"/>
          <w:lang w:eastAsia="ko-KR"/>
        </w:rPr>
      </w:pPr>
      <w:r>
        <w:rPr>
          <w:rFonts w:ascii="Arial" w:hAnsi="Arial" w:cs="Arial"/>
          <w:sz w:val="22"/>
          <w:szCs w:val="22"/>
          <w:lang w:eastAsia="ko-KR"/>
        </w:rPr>
        <w:t xml:space="preserve">El Intercambio de Información </w:t>
      </w:r>
      <w:r w:rsidR="00EC7465">
        <w:rPr>
          <w:rFonts w:ascii="Arial" w:hAnsi="Arial" w:cs="Arial"/>
          <w:sz w:val="22"/>
          <w:szCs w:val="22"/>
          <w:lang w:eastAsia="ko-KR"/>
        </w:rPr>
        <w:t xml:space="preserve">Médica </w:t>
      </w:r>
      <w:r>
        <w:rPr>
          <w:rFonts w:ascii="Arial" w:hAnsi="Arial" w:cs="Arial"/>
          <w:sz w:val="22"/>
          <w:szCs w:val="22"/>
          <w:lang w:eastAsia="ko-KR"/>
        </w:rPr>
        <w:t xml:space="preserve">(HIE, en sus siglas en inglés) es un elemento crucial para superar los </w:t>
      </w:r>
      <w:r w:rsidR="00D064E4">
        <w:rPr>
          <w:rFonts w:ascii="Arial" w:hAnsi="Arial" w:cs="Arial"/>
          <w:sz w:val="22"/>
          <w:szCs w:val="22"/>
          <w:lang w:eastAsia="ko-KR"/>
        </w:rPr>
        <w:t>retos</w:t>
      </w:r>
      <w:r>
        <w:rPr>
          <w:rFonts w:ascii="Arial" w:hAnsi="Arial" w:cs="Arial"/>
          <w:sz w:val="22"/>
          <w:szCs w:val="22"/>
          <w:lang w:eastAsia="ko-KR"/>
        </w:rPr>
        <w:t xml:space="preserve"> relacionados con </w:t>
      </w:r>
      <w:r w:rsidRPr="00B9706E">
        <w:rPr>
          <w:rFonts w:ascii="Arial" w:hAnsi="Arial" w:cs="Arial"/>
          <w:sz w:val="22"/>
          <w:szCs w:val="22"/>
          <w:lang w:eastAsia="ko-KR"/>
        </w:rPr>
        <w:t>los sistemas de atención médica, como la disparidad, la fragmentación y la falta de operabilidad (</w:t>
      </w:r>
      <w:proofErr w:type="spellStart"/>
      <w:r w:rsidRPr="00B9706E">
        <w:rPr>
          <w:rFonts w:ascii="Arial" w:hAnsi="Arial" w:cs="Arial"/>
          <w:sz w:val="22"/>
          <w:szCs w:val="22"/>
          <w:lang w:eastAsia="ko-KR"/>
        </w:rPr>
        <w:t>Akhlaq</w:t>
      </w:r>
      <w:proofErr w:type="spellEnd"/>
      <w:r w:rsidRPr="00B9706E">
        <w:rPr>
          <w:rFonts w:ascii="Arial" w:hAnsi="Arial" w:cs="Arial"/>
          <w:sz w:val="22"/>
          <w:szCs w:val="22"/>
          <w:lang w:eastAsia="ko-KR"/>
        </w:rPr>
        <w:t xml:space="preserve"> et al.</w:t>
      </w:r>
      <w:r w:rsidR="00B9706E">
        <w:rPr>
          <w:rFonts w:ascii="Arial" w:hAnsi="Arial" w:cs="Arial"/>
          <w:sz w:val="22"/>
          <w:szCs w:val="22"/>
          <w:lang w:eastAsia="ko-KR"/>
        </w:rPr>
        <w:t>,</w:t>
      </w:r>
      <w:r w:rsidRPr="00B9706E">
        <w:rPr>
          <w:rFonts w:ascii="Arial" w:hAnsi="Arial" w:cs="Arial"/>
          <w:sz w:val="22"/>
          <w:szCs w:val="22"/>
          <w:lang w:eastAsia="ko-KR"/>
        </w:rPr>
        <w:t xml:space="preserve"> 2015; </w:t>
      </w:r>
      <w:proofErr w:type="spellStart"/>
      <w:r w:rsidRPr="00B9706E">
        <w:rPr>
          <w:rFonts w:ascii="Arial" w:hAnsi="Arial" w:cs="Arial"/>
          <w:sz w:val="22"/>
          <w:szCs w:val="22"/>
          <w:lang w:eastAsia="ko-KR"/>
        </w:rPr>
        <w:t>Hripcsak</w:t>
      </w:r>
      <w:proofErr w:type="spellEnd"/>
      <w:r w:rsidRPr="00B9706E">
        <w:rPr>
          <w:rFonts w:ascii="Arial" w:hAnsi="Arial" w:cs="Arial"/>
          <w:sz w:val="22"/>
          <w:szCs w:val="22"/>
          <w:lang w:eastAsia="ko-KR"/>
        </w:rPr>
        <w:t xml:space="preserve"> et al</w:t>
      </w:r>
      <w:r w:rsidR="00B9706E">
        <w:rPr>
          <w:rFonts w:ascii="Arial" w:hAnsi="Arial" w:cs="Arial"/>
          <w:sz w:val="22"/>
          <w:szCs w:val="22"/>
          <w:lang w:eastAsia="ko-KR"/>
        </w:rPr>
        <w:t>.,</w:t>
      </w:r>
      <w:r w:rsidRPr="00B9706E">
        <w:rPr>
          <w:rFonts w:ascii="Arial" w:hAnsi="Arial" w:cs="Arial"/>
          <w:sz w:val="22"/>
          <w:szCs w:val="22"/>
          <w:lang w:eastAsia="ko-KR"/>
        </w:rPr>
        <w:t xml:space="preserve"> 2007). HIE es una tecnología que comparte toda la información clínica y administrativa de los pacientes </w:t>
      </w:r>
      <w:r w:rsidR="003C5D44" w:rsidRPr="00B9706E">
        <w:rPr>
          <w:rFonts w:ascii="Arial" w:hAnsi="Arial" w:cs="Arial"/>
          <w:sz w:val="22"/>
          <w:szCs w:val="22"/>
          <w:lang w:eastAsia="ko-KR"/>
        </w:rPr>
        <w:t xml:space="preserve">de manera </w:t>
      </w:r>
      <w:r w:rsidR="003C5D44" w:rsidRPr="004E289D">
        <w:rPr>
          <w:rFonts w:ascii="Arial" w:hAnsi="Arial" w:cs="Arial"/>
          <w:sz w:val="22"/>
          <w:szCs w:val="22"/>
          <w:lang w:eastAsia="ko-KR"/>
        </w:rPr>
        <w:t xml:space="preserve">electrónica </w:t>
      </w:r>
      <w:r w:rsidRPr="004E289D">
        <w:rPr>
          <w:rFonts w:ascii="Arial" w:hAnsi="Arial" w:cs="Arial"/>
          <w:sz w:val="22"/>
          <w:szCs w:val="22"/>
          <w:lang w:eastAsia="ko-KR"/>
        </w:rPr>
        <w:t>entre instituciones de atención médica dentro de una región o comunidad (</w:t>
      </w:r>
      <w:proofErr w:type="spellStart"/>
      <w:r w:rsidRPr="004E289D">
        <w:rPr>
          <w:rFonts w:ascii="Arial" w:hAnsi="Arial" w:cs="Arial"/>
          <w:sz w:val="22"/>
          <w:szCs w:val="22"/>
          <w:lang w:eastAsia="ko-KR"/>
        </w:rPr>
        <w:t>Akhlaq</w:t>
      </w:r>
      <w:proofErr w:type="spellEnd"/>
      <w:r w:rsidRPr="004E289D">
        <w:rPr>
          <w:rFonts w:ascii="Arial" w:hAnsi="Arial" w:cs="Arial"/>
          <w:sz w:val="22"/>
          <w:szCs w:val="22"/>
          <w:lang w:eastAsia="ko-KR"/>
        </w:rPr>
        <w:t xml:space="preserve"> et al.</w:t>
      </w:r>
      <w:r w:rsidR="00B9706E" w:rsidRPr="004E289D">
        <w:rPr>
          <w:rFonts w:ascii="Arial" w:hAnsi="Arial" w:cs="Arial"/>
          <w:sz w:val="22"/>
          <w:szCs w:val="22"/>
          <w:lang w:eastAsia="ko-KR"/>
        </w:rPr>
        <w:t xml:space="preserve">, </w:t>
      </w:r>
      <w:r w:rsidRPr="004E289D">
        <w:rPr>
          <w:rFonts w:ascii="Arial" w:hAnsi="Arial" w:cs="Arial"/>
          <w:sz w:val="22"/>
          <w:szCs w:val="22"/>
          <w:lang w:eastAsia="ko-KR"/>
        </w:rPr>
        <w:t>2015</w:t>
      </w:r>
      <w:r w:rsidR="00B9706E" w:rsidRPr="004E289D">
        <w:rPr>
          <w:rFonts w:ascii="Arial" w:hAnsi="Arial" w:cs="Arial"/>
          <w:sz w:val="22"/>
          <w:szCs w:val="22"/>
          <w:lang w:eastAsia="ko-KR"/>
        </w:rPr>
        <w:t>;</w:t>
      </w:r>
      <w:r w:rsidRPr="004E289D">
        <w:rPr>
          <w:rFonts w:ascii="Arial" w:hAnsi="Arial" w:cs="Arial"/>
          <w:sz w:val="22"/>
          <w:szCs w:val="22"/>
          <w:lang w:eastAsia="ko-KR"/>
        </w:rPr>
        <w:t xml:space="preserve"> Finn</w:t>
      </w:r>
      <w:r w:rsidR="00B9706E" w:rsidRPr="004E289D">
        <w:rPr>
          <w:rFonts w:ascii="Arial" w:hAnsi="Arial" w:cs="Arial"/>
          <w:sz w:val="22"/>
          <w:szCs w:val="22"/>
          <w:lang w:eastAsia="ko-KR"/>
        </w:rPr>
        <w:t xml:space="preserve">, </w:t>
      </w:r>
      <w:r w:rsidRPr="004E289D">
        <w:rPr>
          <w:rFonts w:ascii="Arial" w:hAnsi="Arial" w:cs="Arial"/>
          <w:sz w:val="22"/>
          <w:szCs w:val="22"/>
          <w:lang w:eastAsia="ko-KR"/>
        </w:rPr>
        <w:t>2011</w:t>
      </w:r>
      <w:r w:rsidR="00B9706E" w:rsidRPr="004E289D">
        <w:rPr>
          <w:rFonts w:ascii="Arial" w:hAnsi="Arial" w:cs="Arial"/>
          <w:sz w:val="22"/>
          <w:szCs w:val="22"/>
          <w:lang w:eastAsia="ko-KR"/>
        </w:rPr>
        <w:t>;</w:t>
      </w:r>
      <w:r w:rsidRPr="004E289D">
        <w:rPr>
          <w:rFonts w:ascii="Arial" w:hAnsi="Arial" w:cs="Arial"/>
          <w:sz w:val="22"/>
          <w:szCs w:val="22"/>
          <w:lang w:eastAsia="ko-KR"/>
        </w:rPr>
        <w:t xml:space="preserve"> Bailey et al.</w:t>
      </w:r>
      <w:r w:rsidR="00B9706E" w:rsidRPr="004E289D">
        <w:rPr>
          <w:rFonts w:ascii="Arial" w:hAnsi="Arial" w:cs="Arial"/>
          <w:sz w:val="22"/>
          <w:szCs w:val="22"/>
          <w:lang w:eastAsia="ko-KR"/>
        </w:rPr>
        <w:t>,</w:t>
      </w:r>
      <w:r w:rsidRPr="004E289D">
        <w:rPr>
          <w:rFonts w:ascii="Arial" w:hAnsi="Arial" w:cs="Arial"/>
          <w:sz w:val="22"/>
          <w:szCs w:val="22"/>
          <w:lang w:eastAsia="ko-KR"/>
        </w:rPr>
        <w:t xml:space="preserve"> 2013). </w:t>
      </w:r>
      <w:r w:rsidR="0073734C" w:rsidRPr="004E289D">
        <w:rPr>
          <w:rFonts w:ascii="Arial" w:hAnsi="Arial" w:cs="Arial"/>
          <w:sz w:val="22"/>
          <w:szCs w:val="22"/>
          <w:lang w:eastAsia="ko-KR"/>
        </w:rPr>
        <w:t>De esta manera</w:t>
      </w:r>
      <w:r w:rsidRPr="004E289D">
        <w:rPr>
          <w:rFonts w:ascii="Arial" w:hAnsi="Arial" w:cs="Arial"/>
          <w:sz w:val="22"/>
          <w:szCs w:val="22"/>
          <w:lang w:eastAsia="ko-KR"/>
        </w:rPr>
        <w:t>, deficiencia</w:t>
      </w:r>
      <w:r w:rsidR="0073734C" w:rsidRPr="004E289D">
        <w:rPr>
          <w:rFonts w:ascii="Arial" w:hAnsi="Arial" w:cs="Arial"/>
          <w:sz w:val="22"/>
          <w:szCs w:val="22"/>
          <w:lang w:eastAsia="ko-KR"/>
        </w:rPr>
        <w:t>s</w:t>
      </w:r>
      <w:r w:rsidRPr="004E289D">
        <w:rPr>
          <w:rFonts w:ascii="Arial" w:hAnsi="Arial" w:cs="Arial"/>
          <w:sz w:val="22"/>
          <w:szCs w:val="22"/>
          <w:lang w:eastAsia="ko-KR"/>
        </w:rPr>
        <w:t xml:space="preserve"> en el intercambio de información en salud </w:t>
      </w:r>
      <w:r w:rsidR="00D064E4" w:rsidRPr="004E289D">
        <w:rPr>
          <w:rFonts w:ascii="Arial" w:hAnsi="Arial" w:cs="Arial"/>
          <w:sz w:val="22"/>
          <w:szCs w:val="22"/>
          <w:lang w:eastAsia="ko-KR"/>
        </w:rPr>
        <w:t>se</w:t>
      </w:r>
      <w:r w:rsidRPr="004E289D">
        <w:rPr>
          <w:rFonts w:ascii="Arial" w:hAnsi="Arial" w:cs="Arial"/>
          <w:sz w:val="22"/>
          <w:szCs w:val="22"/>
          <w:lang w:eastAsia="ko-KR"/>
        </w:rPr>
        <w:t xml:space="preserve"> relaciona</w:t>
      </w:r>
      <w:r w:rsidR="00D064E4" w:rsidRPr="004E289D">
        <w:rPr>
          <w:rFonts w:ascii="Arial" w:hAnsi="Arial" w:cs="Arial"/>
          <w:sz w:val="22"/>
          <w:szCs w:val="22"/>
          <w:lang w:eastAsia="ko-KR"/>
        </w:rPr>
        <w:t>n</w:t>
      </w:r>
      <w:r w:rsidRPr="004E289D">
        <w:rPr>
          <w:rFonts w:ascii="Arial" w:hAnsi="Arial" w:cs="Arial"/>
          <w:sz w:val="22"/>
          <w:szCs w:val="22"/>
          <w:lang w:eastAsia="ko-KR"/>
        </w:rPr>
        <w:t xml:space="preserve"> con problemas en los procesos de atención</w:t>
      </w:r>
      <w:r w:rsidR="00D064E4" w:rsidRPr="004E289D">
        <w:rPr>
          <w:rFonts w:ascii="Arial" w:hAnsi="Arial" w:cs="Arial"/>
          <w:sz w:val="22"/>
          <w:szCs w:val="22"/>
          <w:lang w:eastAsia="ko-KR"/>
        </w:rPr>
        <w:t xml:space="preserve">, </w:t>
      </w:r>
      <w:r w:rsidRPr="004E289D">
        <w:rPr>
          <w:rFonts w:ascii="Arial" w:hAnsi="Arial" w:cs="Arial"/>
          <w:sz w:val="22"/>
          <w:szCs w:val="22"/>
          <w:lang w:eastAsia="ko-KR"/>
        </w:rPr>
        <w:t xml:space="preserve">acceso </w:t>
      </w:r>
      <w:r w:rsidR="00D064E4" w:rsidRPr="004E289D">
        <w:rPr>
          <w:rFonts w:ascii="Arial" w:hAnsi="Arial" w:cs="Arial"/>
          <w:sz w:val="22"/>
          <w:szCs w:val="22"/>
          <w:lang w:eastAsia="ko-KR"/>
        </w:rPr>
        <w:t>ineficiente</w:t>
      </w:r>
      <w:r w:rsidRPr="004E289D">
        <w:rPr>
          <w:rFonts w:ascii="Arial" w:hAnsi="Arial" w:cs="Arial"/>
          <w:sz w:val="22"/>
          <w:szCs w:val="22"/>
          <w:lang w:eastAsia="ko-KR"/>
        </w:rPr>
        <w:t xml:space="preserve"> a los servicios de atención médica, diagnósticos erróneos</w:t>
      </w:r>
      <w:r w:rsidR="00FE48BF" w:rsidRPr="004E289D">
        <w:rPr>
          <w:rFonts w:ascii="Arial" w:hAnsi="Arial" w:cs="Arial"/>
          <w:sz w:val="22"/>
          <w:szCs w:val="22"/>
          <w:lang w:eastAsia="ko-KR"/>
        </w:rPr>
        <w:t xml:space="preserve">, </w:t>
      </w:r>
      <w:r w:rsidRPr="004E289D">
        <w:rPr>
          <w:rFonts w:ascii="Arial" w:hAnsi="Arial" w:cs="Arial"/>
          <w:sz w:val="22"/>
          <w:szCs w:val="22"/>
          <w:lang w:eastAsia="ko-KR"/>
        </w:rPr>
        <w:t>tratamientos fallidos (</w:t>
      </w:r>
      <w:proofErr w:type="spellStart"/>
      <w:r w:rsidR="004E289D" w:rsidRPr="004E289D">
        <w:rPr>
          <w:rFonts w:ascii="Arial" w:hAnsi="Arial" w:cs="Arial"/>
          <w:sz w:val="22"/>
          <w:szCs w:val="22"/>
          <w:lang w:eastAsia="ko-KR"/>
        </w:rPr>
        <w:t>Sadoughi</w:t>
      </w:r>
      <w:proofErr w:type="spellEnd"/>
      <w:r w:rsidRPr="004E289D">
        <w:rPr>
          <w:rFonts w:ascii="Arial" w:hAnsi="Arial" w:cs="Arial"/>
          <w:sz w:val="22"/>
          <w:szCs w:val="22"/>
          <w:lang w:eastAsia="ko-KR"/>
        </w:rPr>
        <w:t xml:space="preserve"> et al., 2018</w:t>
      </w:r>
      <w:r w:rsidR="00FE48BF" w:rsidRPr="004E289D">
        <w:rPr>
          <w:rFonts w:ascii="Arial" w:hAnsi="Arial" w:cs="Arial"/>
          <w:sz w:val="22"/>
          <w:szCs w:val="22"/>
          <w:lang w:eastAsia="ko-KR"/>
        </w:rPr>
        <w:t>), y retraso en</w:t>
      </w:r>
      <w:r w:rsidR="00D064E4" w:rsidRPr="004E289D">
        <w:rPr>
          <w:rFonts w:ascii="Arial" w:hAnsi="Arial" w:cs="Arial"/>
          <w:sz w:val="22"/>
          <w:szCs w:val="22"/>
          <w:lang w:eastAsia="ko-KR"/>
        </w:rPr>
        <w:t xml:space="preserve"> </w:t>
      </w:r>
      <w:r w:rsidRPr="004E289D">
        <w:rPr>
          <w:rFonts w:ascii="Arial" w:hAnsi="Arial" w:cs="Arial"/>
          <w:sz w:val="22"/>
          <w:szCs w:val="22"/>
          <w:lang w:eastAsia="ko-KR"/>
        </w:rPr>
        <w:t>la identificación oportuna de los problemas de salud, lo que resulta en menos consultas médicas en tiempo real (</w:t>
      </w:r>
      <w:proofErr w:type="spellStart"/>
      <w:r w:rsidRPr="004E289D">
        <w:rPr>
          <w:rFonts w:ascii="Arial" w:hAnsi="Arial" w:cs="Arial"/>
          <w:sz w:val="22"/>
          <w:szCs w:val="22"/>
          <w:lang w:eastAsia="ko-KR"/>
        </w:rPr>
        <w:t>Mastebroek</w:t>
      </w:r>
      <w:proofErr w:type="spellEnd"/>
      <w:r w:rsidRPr="004E289D">
        <w:rPr>
          <w:rFonts w:ascii="Arial" w:hAnsi="Arial" w:cs="Arial"/>
          <w:sz w:val="22"/>
          <w:szCs w:val="22"/>
          <w:lang w:eastAsia="ko-KR"/>
        </w:rPr>
        <w:t xml:space="preserve"> et al.</w:t>
      </w:r>
      <w:r w:rsidR="00B9706E" w:rsidRPr="004E289D">
        <w:rPr>
          <w:rFonts w:ascii="Arial" w:hAnsi="Arial" w:cs="Arial"/>
          <w:sz w:val="22"/>
          <w:szCs w:val="22"/>
          <w:lang w:eastAsia="ko-KR"/>
        </w:rPr>
        <w:t xml:space="preserve">, </w:t>
      </w:r>
      <w:r w:rsidRPr="004E289D">
        <w:rPr>
          <w:rFonts w:ascii="Arial" w:hAnsi="Arial" w:cs="Arial"/>
          <w:sz w:val="22"/>
          <w:szCs w:val="22"/>
          <w:lang w:eastAsia="ko-KR"/>
        </w:rPr>
        <w:t>2014</w:t>
      </w:r>
      <w:r w:rsidR="00B9706E" w:rsidRPr="004E289D">
        <w:rPr>
          <w:rFonts w:ascii="Arial" w:hAnsi="Arial" w:cs="Arial"/>
          <w:sz w:val="22"/>
          <w:szCs w:val="22"/>
          <w:lang w:eastAsia="ko-KR"/>
        </w:rPr>
        <w:t>;</w:t>
      </w:r>
      <w:r w:rsidRPr="004E289D">
        <w:rPr>
          <w:rFonts w:ascii="Arial" w:hAnsi="Arial" w:cs="Arial"/>
          <w:sz w:val="22"/>
          <w:szCs w:val="22"/>
          <w:lang w:eastAsia="ko-KR"/>
        </w:rPr>
        <w:t xml:space="preserve"> </w:t>
      </w:r>
      <w:proofErr w:type="spellStart"/>
      <w:r w:rsidRPr="004E289D">
        <w:rPr>
          <w:rFonts w:ascii="Arial" w:hAnsi="Arial" w:cs="Arial"/>
          <w:sz w:val="22"/>
          <w:szCs w:val="22"/>
          <w:lang w:eastAsia="ko-KR"/>
        </w:rPr>
        <w:t>Krahn</w:t>
      </w:r>
      <w:proofErr w:type="spellEnd"/>
      <w:r w:rsidRPr="004E289D">
        <w:rPr>
          <w:rFonts w:ascii="Arial" w:hAnsi="Arial" w:cs="Arial"/>
          <w:sz w:val="22"/>
          <w:szCs w:val="22"/>
          <w:lang w:eastAsia="ko-KR"/>
        </w:rPr>
        <w:t xml:space="preserve"> et al.</w:t>
      </w:r>
      <w:r w:rsidR="00B9706E" w:rsidRPr="004E289D">
        <w:rPr>
          <w:rFonts w:ascii="Arial" w:hAnsi="Arial" w:cs="Arial"/>
          <w:sz w:val="22"/>
          <w:szCs w:val="22"/>
          <w:lang w:eastAsia="ko-KR"/>
        </w:rPr>
        <w:t xml:space="preserve">, </w:t>
      </w:r>
      <w:r w:rsidRPr="004E289D">
        <w:rPr>
          <w:rFonts w:ascii="Arial" w:hAnsi="Arial" w:cs="Arial"/>
          <w:sz w:val="22"/>
          <w:szCs w:val="22"/>
          <w:lang w:eastAsia="ko-KR"/>
        </w:rPr>
        <w:t xml:space="preserve">2006). </w:t>
      </w:r>
      <w:r w:rsidR="0094668B" w:rsidRPr="004E289D">
        <w:rPr>
          <w:rFonts w:ascii="Arial" w:hAnsi="Arial" w:cs="Arial"/>
          <w:sz w:val="22"/>
          <w:szCs w:val="22"/>
          <w:lang w:eastAsia="ko-KR"/>
        </w:rPr>
        <w:lastRenderedPageBreak/>
        <w:t xml:space="preserve">Es por ello </w:t>
      </w:r>
      <w:proofErr w:type="gramStart"/>
      <w:r w:rsidR="0094668B" w:rsidRPr="004E289D">
        <w:rPr>
          <w:rFonts w:ascii="Arial" w:hAnsi="Arial" w:cs="Arial"/>
          <w:sz w:val="22"/>
          <w:szCs w:val="22"/>
          <w:lang w:eastAsia="ko-KR"/>
        </w:rPr>
        <w:t>que</w:t>
      </w:r>
      <w:proofErr w:type="gramEnd"/>
      <w:r w:rsidR="0094668B" w:rsidRPr="004E289D">
        <w:rPr>
          <w:rFonts w:ascii="Arial" w:hAnsi="Arial" w:cs="Arial"/>
          <w:sz w:val="22"/>
          <w:szCs w:val="22"/>
          <w:lang w:eastAsia="ko-KR"/>
        </w:rPr>
        <w:t xml:space="preserve"> superar estas brechas representa una oportunidad para mejorar los indicadores de salud. Por ejemplo, un metaanálisis realizado por </w:t>
      </w:r>
      <w:proofErr w:type="spellStart"/>
      <w:r w:rsidR="004E289D" w:rsidRPr="004E289D">
        <w:rPr>
          <w:rFonts w:ascii="Arial" w:hAnsi="Arial" w:cs="Arial"/>
          <w:sz w:val="22"/>
          <w:szCs w:val="22"/>
          <w:lang w:eastAsia="ko-KR"/>
        </w:rPr>
        <w:t>Sadoughi</w:t>
      </w:r>
      <w:proofErr w:type="spellEnd"/>
      <w:r w:rsidR="004E289D" w:rsidRPr="004E289D">
        <w:rPr>
          <w:rFonts w:ascii="Arial" w:hAnsi="Arial" w:cs="Arial"/>
          <w:sz w:val="22"/>
          <w:szCs w:val="22"/>
          <w:lang w:eastAsia="ko-KR"/>
        </w:rPr>
        <w:t xml:space="preserve"> </w:t>
      </w:r>
      <w:r w:rsidR="0094668B" w:rsidRPr="004E289D">
        <w:rPr>
          <w:rFonts w:ascii="Arial" w:hAnsi="Arial" w:cs="Arial"/>
          <w:sz w:val="22"/>
          <w:szCs w:val="22"/>
          <w:lang w:eastAsia="ko-KR"/>
        </w:rPr>
        <w:t>et al. (2018) encontró</w:t>
      </w:r>
      <w:r w:rsidR="0094668B" w:rsidRPr="00002EB5">
        <w:rPr>
          <w:rFonts w:ascii="Arial" w:hAnsi="Arial" w:cs="Arial"/>
          <w:sz w:val="22"/>
          <w:szCs w:val="22"/>
          <w:lang w:eastAsia="ko-KR"/>
        </w:rPr>
        <w:t xml:space="preserve"> que </w:t>
      </w:r>
      <w:r w:rsidR="004D166B">
        <w:rPr>
          <w:rFonts w:ascii="Arial" w:hAnsi="Arial" w:cs="Arial"/>
          <w:sz w:val="22"/>
          <w:szCs w:val="22"/>
          <w:lang w:eastAsia="ko-KR"/>
        </w:rPr>
        <w:t xml:space="preserve">el intercambio de información médica </w:t>
      </w:r>
      <w:r w:rsidR="0094668B" w:rsidRPr="00002EB5">
        <w:rPr>
          <w:rFonts w:ascii="Arial" w:hAnsi="Arial" w:cs="Arial"/>
          <w:sz w:val="22"/>
          <w:szCs w:val="22"/>
          <w:lang w:eastAsia="ko-KR"/>
        </w:rPr>
        <w:t xml:space="preserve">tiene efectos positivos en la calidad de la atención y la rentabilidad. El </w:t>
      </w:r>
      <w:r w:rsidR="007929E5">
        <w:rPr>
          <w:rFonts w:ascii="Arial" w:hAnsi="Arial" w:cs="Arial"/>
          <w:sz w:val="22"/>
          <w:szCs w:val="22"/>
          <w:lang w:eastAsia="ko-KR"/>
        </w:rPr>
        <w:t>70%</w:t>
      </w:r>
      <w:r w:rsidR="0094668B" w:rsidRPr="00002EB5">
        <w:rPr>
          <w:rFonts w:ascii="Arial" w:hAnsi="Arial" w:cs="Arial"/>
          <w:sz w:val="22"/>
          <w:szCs w:val="22"/>
          <w:lang w:eastAsia="ko-KR"/>
        </w:rPr>
        <w:t xml:space="preserve"> de los estudios demostraron efectos financieros positivos y el </w:t>
      </w:r>
      <w:r w:rsidR="007929E5">
        <w:rPr>
          <w:rFonts w:ascii="Arial" w:hAnsi="Arial" w:cs="Arial"/>
          <w:sz w:val="22"/>
          <w:szCs w:val="22"/>
          <w:lang w:eastAsia="ko-KR"/>
        </w:rPr>
        <w:t>74%</w:t>
      </w:r>
      <w:r w:rsidR="0094668B" w:rsidRPr="00002EB5">
        <w:rPr>
          <w:rFonts w:ascii="Arial" w:hAnsi="Arial" w:cs="Arial"/>
          <w:sz w:val="22"/>
          <w:szCs w:val="22"/>
          <w:lang w:eastAsia="ko-KR"/>
        </w:rPr>
        <w:t xml:space="preserve"> informaron efectos positivos en la mejora de la calidad de la atención al paciente</w:t>
      </w:r>
      <w:r w:rsidR="003F774D">
        <w:rPr>
          <w:rFonts w:ascii="Arial" w:hAnsi="Arial" w:cs="Arial"/>
          <w:sz w:val="22"/>
          <w:szCs w:val="22"/>
          <w:lang w:eastAsia="ko-KR"/>
        </w:rPr>
        <w:t xml:space="preserve">. </w:t>
      </w:r>
      <w:r w:rsidR="0038100B" w:rsidRPr="0038100B">
        <w:rPr>
          <w:rFonts w:ascii="Arial" w:hAnsi="Arial" w:cs="Arial"/>
          <w:sz w:val="22"/>
          <w:szCs w:val="22"/>
          <w:lang w:eastAsia="ko-KR"/>
        </w:rPr>
        <w:t xml:space="preserve">Sin embargo, la literatura sugiere </w:t>
      </w:r>
      <w:r w:rsidR="0038100B">
        <w:rPr>
          <w:rFonts w:ascii="Arial" w:hAnsi="Arial" w:cs="Arial"/>
          <w:sz w:val="22"/>
          <w:szCs w:val="22"/>
          <w:lang w:eastAsia="ko-KR"/>
        </w:rPr>
        <w:t xml:space="preserve">que se pueden lograr </w:t>
      </w:r>
      <w:r w:rsidR="0038100B" w:rsidRPr="0038100B">
        <w:rPr>
          <w:rFonts w:ascii="Arial" w:hAnsi="Arial" w:cs="Arial"/>
          <w:sz w:val="22"/>
          <w:szCs w:val="22"/>
          <w:lang w:eastAsia="ko-KR"/>
        </w:rPr>
        <w:t>ganancias significativas cuando estos sistemas se adoptan ampliamente y se usan correctamente</w:t>
      </w:r>
      <w:r w:rsidR="0038100B">
        <w:rPr>
          <w:rFonts w:ascii="Arial" w:hAnsi="Arial" w:cs="Arial"/>
          <w:sz w:val="22"/>
          <w:szCs w:val="22"/>
          <w:lang w:eastAsia="ko-KR"/>
        </w:rPr>
        <w:t>, dado qu</w:t>
      </w:r>
      <w:r w:rsidR="00021D91">
        <w:rPr>
          <w:rFonts w:ascii="Arial" w:hAnsi="Arial" w:cs="Arial"/>
          <w:sz w:val="22"/>
          <w:szCs w:val="22"/>
          <w:lang w:eastAsia="ko-KR"/>
        </w:rPr>
        <w:t>e</w:t>
      </w:r>
      <w:r w:rsidR="003F774D">
        <w:rPr>
          <w:rFonts w:ascii="Arial" w:hAnsi="Arial" w:cs="Arial"/>
          <w:sz w:val="22"/>
          <w:szCs w:val="22"/>
          <w:lang w:eastAsia="ko-KR"/>
        </w:rPr>
        <w:t xml:space="preserve"> los costos iniciales de adquisición, los costos fijos de mantenimiento y el </w:t>
      </w:r>
      <w:r w:rsidR="003F774D" w:rsidRPr="00FF5A01">
        <w:rPr>
          <w:rFonts w:ascii="Arial" w:hAnsi="Arial" w:cs="Arial"/>
          <w:sz w:val="22"/>
          <w:szCs w:val="22"/>
          <w:lang w:eastAsia="ko-KR"/>
        </w:rPr>
        <w:t xml:space="preserve">proceso de adaptación y aprendizaje, </w:t>
      </w:r>
      <w:r w:rsidR="00021D91" w:rsidRPr="00FF5A01">
        <w:rPr>
          <w:rFonts w:ascii="Arial" w:hAnsi="Arial" w:cs="Arial"/>
          <w:sz w:val="22"/>
          <w:szCs w:val="22"/>
          <w:lang w:eastAsia="ko-KR"/>
        </w:rPr>
        <w:t>pueden contribuir</w:t>
      </w:r>
      <w:r w:rsidR="003F774D" w:rsidRPr="00FF5A01">
        <w:rPr>
          <w:rFonts w:ascii="Arial" w:hAnsi="Arial" w:cs="Arial"/>
          <w:sz w:val="22"/>
          <w:szCs w:val="22"/>
          <w:lang w:eastAsia="ko-KR"/>
        </w:rPr>
        <w:t xml:space="preserve"> a pérdidas temporales en la productividad</w:t>
      </w:r>
      <w:r w:rsidR="00021D91" w:rsidRPr="00FF5A01">
        <w:rPr>
          <w:rFonts w:ascii="Arial" w:hAnsi="Arial" w:cs="Arial"/>
          <w:sz w:val="22"/>
          <w:szCs w:val="22"/>
          <w:lang w:eastAsia="ko-KR"/>
        </w:rPr>
        <w:t xml:space="preserve"> (</w:t>
      </w:r>
      <w:proofErr w:type="spellStart"/>
      <w:r w:rsidR="00021D91" w:rsidRPr="00FF5A01">
        <w:rPr>
          <w:rFonts w:ascii="Arial" w:hAnsi="Arial" w:cs="Arial"/>
          <w:sz w:val="22"/>
          <w:szCs w:val="22"/>
          <w:lang w:eastAsia="ko-KR"/>
        </w:rPr>
        <w:t>Menachemi</w:t>
      </w:r>
      <w:proofErr w:type="spellEnd"/>
      <w:r w:rsidR="00021D91" w:rsidRPr="00FF5A01">
        <w:rPr>
          <w:rFonts w:ascii="Arial" w:hAnsi="Arial" w:cs="Arial"/>
          <w:sz w:val="22"/>
          <w:szCs w:val="22"/>
          <w:lang w:eastAsia="ko-KR"/>
        </w:rPr>
        <w:t xml:space="preserve"> and </w:t>
      </w:r>
      <w:proofErr w:type="spellStart"/>
      <w:r w:rsidR="00021D91" w:rsidRPr="00FF5A01">
        <w:rPr>
          <w:rFonts w:ascii="Arial" w:hAnsi="Arial" w:cs="Arial"/>
          <w:sz w:val="22"/>
          <w:szCs w:val="22"/>
          <w:lang w:eastAsia="ko-KR"/>
        </w:rPr>
        <w:t>Collum</w:t>
      </w:r>
      <w:proofErr w:type="spellEnd"/>
      <w:r w:rsidR="00021D91" w:rsidRPr="00FF5A01">
        <w:rPr>
          <w:rFonts w:ascii="Arial" w:hAnsi="Arial" w:cs="Arial"/>
          <w:sz w:val="22"/>
          <w:szCs w:val="22"/>
          <w:lang w:eastAsia="ko-KR"/>
        </w:rPr>
        <w:t>, 2011)</w:t>
      </w:r>
      <w:r w:rsidR="003F774D" w:rsidRPr="00FF5A01">
        <w:rPr>
          <w:rFonts w:ascii="Arial" w:hAnsi="Arial" w:cs="Arial"/>
          <w:sz w:val="22"/>
          <w:szCs w:val="22"/>
          <w:lang w:eastAsia="ko-KR"/>
        </w:rPr>
        <w:t>.</w:t>
      </w:r>
      <w:r w:rsidR="003F774D">
        <w:rPr>
          <w:rFonts w:ascii="Arial" w:hAnsi="Arial" w:cs="Arial"/>
          <w:sz w:val="22"/>
          <w:szCs w:val="22"/>
          <w:lang w:eastAsia="ko-KR"/>
        </w:rPr>
        <w:t xml:space="preserve"> </w:t>
      </w:r>
    </w:p>
    <w:p w14:paraId="78328424" w14:textId="29728C1B" w:rsidR="001C3109" w:rsidRDefault="001C3109" w:rsidP="00D72D0E">
      <w:pPr>
        <w:jc w:val="both"/>
        <w:rPr>
          <w:rFonts w:ascii="Arial" w:hAnsi="Arial" w:cs="Arial"/>
          <w:sz w:val="22"/>
          <w:szCs w:val="22"/>
          <w:lang w:eastAsia="ko-KR"/>
        </w:rPr>
      </w:pPr>
    </w:p>
    <w:p w14:paraId="62C8F66E" w14:textId="198AA7D9" w:rsidR="00EC7465" w:rsidRDefault="00211691" w:rsidP="00D72D0E">
      <w:pPr>
        <w:jc w:val="both"/>
        <w:rPr>
          <w:rFonts w:ascii="Arial" w:hAnsi="Arial" w:cs="Arial"/>
          <w:sz w:val="22"/>
          <w:szCs w:val="22"/>
          <w:lang w:eastAsia="ko-KR"/>
        </w:rPr>
      </w:pPr>
      <w:r>
        <w:rPr>
          <w:rFonts w:ascii="Arial" w:hAnsi="Arial" w:cs="Arial"/>
          <w:sz w:val="22"/>
          <w:szCs w:val="22"/>
          <w:lang w:eastAsia="ko-KR"/>
        </w:rPr>
        <w:t>Para este análisis, calculamos los ahorros asociados a la implementación de</w:t>
      </w:r>
      <w:r w:rsidR="004D166B">
        <w:rPr>
          <w:rFonts w:ascii="Arial" w:hAnsi="Arial" w:cs="Arial"/>
          <w:sz w:val="22"/>
          <w:szCs w:val="22"/>
          <w:lang w:eastAsia="ko-KR"/>
        </w:rPr>
        <w:t>l intercambio de información médica</w:t>
      </w:r>
      <w:r>
        <w:rPr>
          <w:rFonts w:ascii="Arial" w:hAnsi="Arial" w:cs="Arial"/>
          <w:sz w:val="22"/>
          <w:szCs w:val="22"/>
          <w:lang w:eastAsia="ko-KR"/>
        </w:rPr>
        <w:t xml:space="preserve">. </w:t>
      </w:r>
      <w:r w:rsidR="008F6218">
        <w:rPr>
          <w:rFonts w:ascii="Arial" w:hAnsi="Arial" w:cs="Arial"/>
          <w:sz w:val="22"/>
          <w:szCs w:val="22"/>
          <w:lang w:eastAsia="ko-KR"/>
        </w:rPr>
        <w:t>Particularmente</w:t>
      </w:r>
      <w:r>
        <w:rPr>
          <w:rFonts w:ascii="Arial" w:hAnsi="Arial" w:cs="Arial"/>
          <w:sz w:val="22"/>
          <w:szCs w:val="22"/>
          <w:lang w:eastAsia="ko-KR"/>
        </w:rPr>
        <w:t xml:space="preserve">, se espera que la intervención del programa asociados a fortalecer la gestión de la información y el uso de nuevas tecnologías en </w:t>
      </w:r>
      <w:r w:rsidR="008F6218">
        <w:rPr>
          <w:rFonts w:ascii="Arial" w:hAnsi="Arial" w:cs="Arial"/>
          <w:sz w:val="22"/>
          <w:szCs w:val="22"/>
          <w:lang w:eastAsia="ko-KR"/>
        </w:rPr>
        <w:t>salud</w:t>
      </w:r>
      <w:r>
        <w:rPr>
          <w:rFonts w:ascii="Arial" w:hAnsi="Arial" w:cs="Arial"/>
          <w:sz w:val="22"/>
          <w:szCs w:val="22"/>
          <w:lang w:eastAsia="ko-KR"/>
        </w:rPr>
        <w:t xml:space="preserve"> contribuya a disminuir el número de imágenes diagnósticas repetidas, el número de ingresos hospitalarios evitables y la duración de estancia del paciente en el hospital. </w:t>
      </w:r>
      <w:r w:rsidR="008F6218">
        <w:rPr>
          <w:rFonts w:ascii="Arial" w:hAnsi="Arial" w:cs="Arial"/>
          <w:sz w:val="22"/>
          <w:szCs w:val="22"/>
          <w:lang w:eastAsia="ko-KR"/>
        </w:rPr>
        <w:t>Así, definimos los ahorros como:</w:t>
      </w:r>
    </w:p>
    <w:p w14:paraId="1639247C" w14:textId="29396B5C" w:rsidR="00516374" w:rsidRDefault="00516374" w:rsidP="00D72D0E">
      <w:pPr>
        <w:jc w:val="both"/>
        <w:rPr>
          <w:rFonts w:ascii="Arial" w:hAnsi="Arial" w:cs="Arial"/>
          <w:sz w:val="22"/>
          <w:szCs w:val="22"/>
          <w:lang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109"/>
        <w:gridCol w:w="456"/>
      </w:tblGrid>
      <w:tr w:rsidR="00516374" w:rsidRPr="00516374" w14:paraId="5C11B37D" w14:textId="77777777" w:rsidTr="00117699">
        <w:trPr>
          <w:trHeight w:val="432"/>
        </w:trPr>
        <w:tc>
          <w:tcPr>
            <w:tcW w:w="2785" w:type="dxa"/>
            <w:vAlign w:val="center"/>
          </w:tcPr>
          <w:p w14:paraId="4E237458" w14:textId="62B63F35" w:rsidR="00516374" w:rsidRPr="00516374" w:rsidRDefault="00516374" w:rsidP="00516374">
            <w:pPr>
              <w:rPr>
                <w:rFonts w:ascii="Arial" w:hAnsi="Arial" w:cs="Arial"/>
                <w:i/>
                <w:iCs/>
                <w:sz w:val="16"/>
                <w:szCs w:val="16"/>
                <w:lang w:eastAsia="ko-KR"/>
              </w:rPr>
            </w:pPr>
            <w:r w:rsidRPr="00516374">
              <w:rPr>
                <w:rFonts w:ascii="Arial" w:hAnsi="Arial" w:cs="Arial"/>
                <w:i/>
                <w:iCs/>
                <w:sz w:val="16"/>
                <w:szCs w:val="16"/>
                <w:lang w:eastAsia="ko-KR"/>
              </w:rPr>
              <w:t>Ingresos hospitalarios</w:t>
            </w:r>
          </w:p>
        </w:tc>
        <w:tc>
          <w:tcPr>
            <w:tcW w:w="6109" w:type="dxa"/>
            <w:vAlign w:val="center"/>
          </w:tcPr>
          <w:p w14:paraId="0D8E0819" w14:textId="21ADE160" w:rsidR="00516374" w:rsidRPr="00516374" w:rsidRDefault="00C014EC" w:rsidP="00516374">
            <w:pPr>
              <w:jc w:val="center"/>
              <w:rPr>
                <w:rFonts w:ascii="Arial" w:hAnsi="Arial" w:cs="Arial"/>
                <w:i/>
                <w:sz w:val="18"/>
                <w:szCs w:val="18"/>
                <w:lang w:eastAsia="ko-KR"/>
              </w:rPr>
            </w:pPr>
            <m:oMathPara>
              <m:oMath>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IH</m:t>
                    </m:r>
                  </m:e>
                  <m:sub>
                    <m:r>
                      <w:rPr>
                        <w:rFonts w:ascii="Cambria Math" w:hAnsi="Cambria Math" w:cs="Arial"/>
                        <w:sz w:val="18"/>
                        <w:szCs w:val="18"/>
                        <w:lang w:val="en-US" w:eastAsia="ko-KR"/>
                      </w:rPr>
                      <m:t>t</m:t>
                    </m:r>
                  </m:sub>
                </m:sSub>
                <m:r>
                  <w:rPr>
                    <w:rFonts w:ascii="Cambria Math" w:hAnsi="Cambria Math" w:cs="Arial"/>
                    <w:sz w:val="18"/>
                    <w:szCs w:val="18"/>
                    <w:lang w:val="en-US" w:eastAsia="ko-KR"/>
                  </w:rPr>
                  <m:t>=</m:t>
                </m:r>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S</m:t>
                    </m:r>
                  </m:e>
                  <m:sub>
                    <m:r>
                      <w:rPr>
                        <w:rFonts w:ascii="Cambria Math" w:hAnsi="Cambria Math" w:cs="Arial"/>
                        <w:sz w:val="18"/>
                        <w:szCs w:val="18"/>
                        <w:lang w:val="en-US" w:eastAsia="ko-KR"/>
                      </w:rPr>
                      <m:t>t</m:t>
                    </m:r>
                  </m:sub>
                </m:sSub>
                <m:r>
                  <w:rPr>
                    <w:rFonts w:ascii="Cambria Math" w:hAnsi="Cambria Math" w:cs="Arial"/>
                    <w:sz w:val="18"/>
                    <w:szCs w:val="18"/>
                    <w:lang w:val="en-US" w:eastAsia="ko-KR"/>
                  </w:rPr>
                  <m:t>∙</m:t>
                </m:r>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pob</m:t>
                    </m:r>
                  </m:e>
                  <m:sub>
                    <m:r>
                      <w:rPr>
                        <w:rFonts w:ascii="Cambria Math" w:hAnsi="Cambria Math" w:cs="Arial"/>
                        <w:sz w:val="18"/>
                        <w:szCs w:val="18"/>
                        <w:lang w:val="en-US" w:eastAsia="ko-KR"/>
                      </w:rPr>
                      <m:t>t</m:t>
                    </m:r>
                  </m:sub>
                </m:sSub>
              </m:oMath>
            </m:oMathPara>
          </w:p>
        </w:tc>
        <w:tc>
          <w:tcPr>
            <w:tcW w:w="456" w:type="dxa"/>
            <w:vAlign w:val="center"/>
          </w:tcPr>
          <w:p w14:paraId="1CD96C05" w14:textId="30D4AFE6" w:rsidR="00516374" w:rsidRPr="00516374" w:rsidRDefault="00516374" w:rsidP="00516374">
            <w:pPr>
              <w:jc w:val="center"/>
              <w:rPr>
                <w:rFonts w:ascii="Arial" w:hAnsi="Arial" w:cs="Arial"/>
                <w:sz w:val="14"/>
                <w:szCs w:val="14"/>
                <w:lang w:eastAsia="ko-KR"/>
              </w:rPr>
            </w:pPr>
            <w:r w:rsidRPr="00516374">
              <w:rPr>
                <w:rFonts w:ascii="Arial" w:hAnsi="Arial" w:cs="Arial"/>
                <w:sz w:val="14"/>
                <w:szCs w:val="14"/>
                <w:lang w:eastAsia="ko-KR"/>
              </w:rPr>
              <w:t>(1)</w:t>
            </w:r>
          </w:p>
        </w:tc>
      </w:tr>
      <w:tr w:rsidR="00516374" w:rsidRPr="00516374" w14:paraId="2AFACB6C" w14:textId="77777777" w:rsidTr="00117699">
        <w:trPr>
          <w:trHeight w:val="432"/>
        </w:trPr>
        <w:tc>
          <w:tcPr>
            <w:tcW w:w="2785" w:type="dxa"/>
            <w:vAlign w:val="center"/>
          </w:tcPr>
          <w:p w14:paraId="643D46B0" w14:textId="7DF09296" w:rsidR="00516374" w:rsidRPr="00516374" w:rsidRDefault="00516374" w:rsidP="00516374">
            <w:pPr>
              <w:rPr>
                <w:rFonts w:ascii="Arial" w:hAnsi="Arial" w:cs="Arial"/>
                <w:i/>
                <w:iCs/>
                <w:sz w:val="16"/>
                <w:szCs w:val="16"/>
                <w:lang w:eastAsia="ko-KR"/>
              </w:rPr>
            </w:pPr>
            <w:r w:rsidRPr="00516374">
              <w:rPr>
                <w:rFonts w:ascii="Arial" w:hAnsi="Arial" w:cs="Arial"/>
                <w:i/>
                <w:iCs/>
                <w:sz w:val="16"/>
                <w:szCs w:val="16"/>
                <w:lang w:eastAsia="ko-KR"/>
              </w:rPr>
              <w:t>Imágenes diagnósticas</w:t>
            </w:r>
          </w:p>
        </w:tc>
        <w:tc>
          <w:tcPr>
            <w:tcW w:w="6109" w:type="dxa"/>
            <w:vAlign w:val="center"/>
          </w:tcPr>
          <w:p w14:paraId="2E1F9AAD" w14:textId="62FAA2EC" w:rsidR="00516374" w:rsidRPr="00516374" w:rsidRDefault="00C014EC" w:rsidP="00516374">
            <w:pPr>
              <w:jc w:val="center"/>
              <w:rPr>
                <w:rFonts w:ascii="Arial" w:hAnsi="Arial" w:cs="Arial"/>
                <w:i/>
                <w:sz w:val="18"/>
                <w:szCs w:val="18"/>
                <w:lang w:val="en-US" w:eastAsia="ko-KR"/>
              </w:rPr>
            </w:pPr>
            <m:oMathPara>
              <m:oMath>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ID</m:t>
                    </m:r>
                  </m:e>
                  <m:sub>
                    <m:r>
                      <w:rPr>
                        <w:rFonts w:ascii="Cambria Math" w:hAnsi="Cambria Math" w:cs="Arial"/>
                        <w:sz w:val="18"/>
                        <w:szCs w:val="18"/>
                        <w:lang w:val="en-US" w:eastAsia="ko-KR"/>
                      </w:rPr>
                      <m:t>t</m:t>
                    </m:r>
                  </m:sub>
                </m:sSub>
                <m:r>
                  <w:rPr>
                    <w:rFonts w:ascii="Cambria Math" w:hAnsi="Cambria Math" w:cs="Arial"/>
                    <w:sz w:val="18"/>
                    <w:szCs w:val="18"/>
                    <w:lang w:val="en-US" w:eastAsia="ko-KR"/>
                  </w:rPr>
                  <m:t>=</m:t>
                </m:r>
                <m:nary>
                  <m:naryPr>
                    <m:chr m:val="∑"/>
                    <m:limLoc m:val="subSup"/>
                    <m:ctrlPr>
                      <w:rPr>
                        <w:rFonts w:ascii="Cambria Math" w:hAnsi="Cambria Math" w:cs="Arial"/>
                        <w:i/>
                        <w:sz w:val="18"/>
                        <w:szCs w:val="18"/>
                        <w:lang w:val="en-US" w:eastAsia="ko-KR"/>
                      </w:rPr>
                    </m:ctrlPr>
                  </m:naryPr>
                  <m:sub>
                    <m:r>
                      <w:rPr>
                        <w:rFonts w:ascii="Cambria Math" w:hAnsi="Cambria Math" w:cs="Arial"/>
                        <w:sz w:val="18"/>
                        <w:szCs w:val="18"/>
                        <w:lang w:val="en-US" w:eastAsia="ko-KR"/>
                      </w:rPr>
                      <m:t>k=1</m:t>
                    </m:r>
                  </m:sub>
                  <m:sup>
                    <m:r>
                      <w:rPr>
                        <w:rFonts w:ascii="Cambria Math" w:hAnsi="Cambria Math" w:cs="Arial"/>
                        <w:sz w:val="18"/>
                        <w:szCs w:val="18"/>
                        <w:lang w:val="en-US" w:eastAsia="ko-KR"/>
                      </w:rPr>
                      <m:t>K</m:t>
                    </m:r>
                  </m:sup>
                  <m:e>
                    <m:d>
                      <m:dPr>
                        <m:ctrlPr>
                          <w:rPr>
                            <w:rFonts w:ascii="Cambria Math" w:hAnsi="Cambria Math" w:cs="Arial"/>
                            <w:i/>
                            <w:sz w:val="18"/>
                            <w:szCs w:val="18"/>
                            <w:lang w:val="en-US" w:eastAsia="ko-KR"/>
                          </w:rPr>
                        </m:ctrlPr>
                      </m:dPr>
                      <m:e>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n</m:t>
                            </m:r>
                          </m:e>
                          <m:sub>
                            <m:r>
                              <w:rPr>
                                <w:rFonts w:ascii="Cambria Math" w:hAnsi="Cambria Math" w:cs="Arial"/>
                                <w:sz w:val="18"/>
                                <w:szCs w:val="18"/>
                                <w:lang w:val="en-US" w:eastAsia="ko-KR"/>
                              </w:rPr>
                              <m:t>k,t</m:t>
                            </m:r>
                          </m:sub>
                        </m:sSub>
                        <m:r>
                          <w:rPr>
                            <w:rFonts w:ascii="Cambria Math" w:hAnsi="Cambria Math" w:cs="Arial"/>
                            <w:sz w:val="18"/>
                            <w:szCs w:val="18"/>
                            <w:lang w:val="en-US" w:eastAsia="ko-KR"/>
                          </w:rPr>
                          <m:t>∙</m:t>
                        </m:r>
                        <m:sSub>
                          <m:sSubPr>
                            <m:ctrlPr>
                              <w:rPr>
                                <w:rFonts w:ascii="Cambria Math" w:hAnsi="Cambria Math" w:cs="Arial"/>
                                <w:i/>
                                <w:sz w:val="18"/>
                                <w:szCs w:val="18"/>
                                <w:lang w:val="en-US" w:eastAsia="ko-KR"/>
                              </w:rPr>
                            </m:ctrlPr>
                          </m:sSubPr>
                          <m:e>
                            <m:acc>
                              <m:accPr>
                                <m:chr m:val="̃"/>
                                <m:ctrlPr>
                                  <w:rPr>
                                    <w:rFonts w:ascii="Cambria Math" w:hAnsi="Cambria Math" w:cs="Arial"/>
                                    <w:i/>
                                    <w:sz w:val="18"/>
                                    <w:szCs w:val="18"/>
                                    <w:lang w:val="en-US" w:eastAsia="ko-KR"/>
                                  </w:rPr>
                                </m:ctrlPr>
                              </m:accPr>
                              <m:e>
                                <m:r>
                                  <w:rPr>
                                    <w:rFonts w:ascii="Cambria Math" w:hAnsi="Cambria Math" w:cs="Arial"/>
                                    <w:sz w:val="18"/>
                                    <w:szCs w:val="18"/>
                                    <w:lang w:val="en-US" w:eastAsia="ko-KR"/>
                                  </w:rPr>
                                  <m:t>pr</m:t>
                                </m:r>
                              </m:e>
                            </m:acc>
                          </m:e>
                          <m:sub>
                            <m:d>
                              <m:dPr>
                                <m:begChr m:val="{"/>
                                <m:endChr m:val="}"/>
                                <m:ctrlPr>
                                  <w:rPr>
                                    <w:rFonts w:ascii="Cambria Math" w:hAnsi="Cambria Math" w:cs="Arial"/>
                                    <w:i/>
                                    <w:sz w:val="18"/>
                                    <w:szCs w:val="18"/>
                                    <w:lang w:val="en-US" w:eastAsia="ko-KR"/>
                                  </w:rPr>
                                </m:ctrlPr>
                              </m:dPr>
                              <m:e>
                                <m:r>
                                  <w:rPr>
                                    <w:rFonts w:ascii="Cambria Math" w:hAnsi="Cambria Math" w:cs="Arial"/>
                                    <w:sz w:val="18"/>
                                    <w:szCs w:val="18"/>
                                    <w:lang w:val="en-US" w:eastAsia="ko-KR"/>
                                  </w:rPr>
                                  <m:t>k</m:t>
                                </m:r>
                              </m:e>
                            </m:d>
                          </m:sub>
                        </m:sSub>
                      </m:e>
                    </m:d>
                    <m:r>
                      <w:rPr>
                        <w:rFonts w:ascii="Cambria Math" w:hAnsi="Cambria Math" w:cs="Arial"/>
                        <w:sz w:val="18"/>
                        <w:szCs w:val="18"/>
                        <w:lang w:val="en-US" w:eastAsia="ko-KR"/>
                      </w:rPr>
                      <m:t>∙</m:t>
                    </m:r>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p</m:t>
                        </m:r>
                      </m:e>
                      <m:sub>
                        <m:r>
                          <w:rPr>
                            <w:rFonts w:ascii="Cambria Math" w:hAnsi="Cambria Math" w:cs="Arial"/>
                            <w:sz w:val="18"/>
                            <w:szCs w:val="18"/>
                            <w:lang w:val="en-US" w:eastAsia="ko-KR"/>
                          </w:rPr>
                          <m:t>k,t</m:t>
                        </m:r>
                      </m:sub>
                    </m:sSub>
                  </m:e>
                </m:nary>
              </m:oMath>
            </m:oMathPara>
          </w:p>
        </w:tc>
        <w:tc>
          <w:tcPr>
            <w:tcW w:w="456" w:type="dxa"/>
            <w:vAlign w:val="center"/>
          </w:tcPr>
          <w:p w14:paraId="0D7DB7A4" w14:textId="6BDC74BD" w:rsidR="00516374" w:rsidRPr="00516374" w:rsidRDefault="00516374" w:rsidP="00516374">
            <w:pPr>
              <w:jc w:val="center"/>
              <w:rPr>
                <w:rFonts w:ascii="Arial" w:hAnsi="Arial" w:cs="Arial"/>
                <w:sz w:val="14"/>
                <w:szCs w:val="14"/>
                <w:lang w:eastAsia="ko-KR"/>
              </w:rPr>
            </w:pPr>
            <w:r w:rsidRPr="00516374">
              <w:rPr>
                <w:rFonts w:ascii="Arial" w:hAnsi="Arial" w:cs="Arial"/>
                <w:sz w:val="14"/>
                <w:szCs w:val="14"/>
                <w:lang w:eastAsia="ko-KR"/>
              </w:rPr>
              <w:t>(2)</w:t>
            </w:r>
          </w:p>
        </w:tc>
      </w:tr>
      <w:tr w:rsidR="00516374" w:rsidRPr="00516374" w14:paraId="4A7B1F5E" w14:textId="77777777" w:rsidTr="00117699">
        <w:trPr>
          <w:trHeight w:val="432"/>
        </w:trPr>
        <w:tc>
          <w:tcPr>
            <w:tcW w:w="2785" w:type="dxa"/>
            <w:vAlign w:val="center"/>
          </w:tcPr>
          <w:p w14:paraId="77BE1709" w14:textId="548789A8" w:rsidR="00516374" w:rsidRPr="00516374" w:rsidRDefault="00516374" w:rsidP="00516374">
            <w:pPr>
              <w:rPr>
                <w:rFonts w:ascii="Arial" w:hAnsi="Arial" w:cs="Arial"/>
                <w:i/>
                <w:iCs/>
                <w:sz w:val="16"/>
                <w:szCs w:val="16"/>
                <w:lang w:eastAsia="ko-KR"/>
              </w:rPr>
            </w:pPr>
            <w:r w:rsidRPr="00516374">
              <w:rPr>
                <w:rFonts w:ascii="Arial" w:hAnsi="Arial" w:cs="Arial"/>
                <w:i/>
                <w:iCs/>
                <w:sz w:val="16"/>
                <w:szCs w:val="16"/>
                <w:lang w:eastAsia="ko-KR"/>
              </w:rPr>
              <w:t>Estancia en el hospital</w:t>
            </w:r>
          </w:p>
        </w:tc>
        <w:tc>
          <w:tcPr>
            <w:tcW w:w="6109" w:type="dxa"/>
            <w:vAlign w:val="center"/>
          </w:tcPr>
          <w:p w14:paraId="725AB497" w14:textId="794D2CCE" w:rsidR="00516374" w:rsidRPr="00516374" w:rsidRDefault="00C014EC" w:rsidP="00516374">
            <w:pPr>
              <w:jc w:val="center"/>
              <w:rPr>
                <w:rFonts w:ascii="Arial" w:hAnsi="Arial" w:cs="Arial"/>
                <w:i/>
                <w:sz w:val="18"/>
                <w:szCs w:val="18"/>
                <w:lang w:eastAsia="ko-KR"/>
              </w:rPr>
            </w:pPr>
            <m:oMathPara>
              <m:oMath>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EP</m:t>
                    </m:r>
                  </m:e>
                  <m:sub>
                    <m:r>
                      <w:rPr>
                        <w:rFonts w:ascii="Cambria Math" w:hAnsi="Cambria Math" w:cs="Arial"/>
                        <w:sz w:val="18"/>
                        <w:szCs w:val="18"/>
                        <w:lang w:val="en-US" w:eastAsia="ko-KR"/>
                      </w:rPr>
                      <m:t>t</m:t>
                    </m:r>
                  </m:sub>
                </m:sSub>
                <m:r>
                  <w:rPr>
                    <w:rFonts w:ascii="Cambria Math" w:hAnsi="Cambria Math" w:cs="Arial"/>
                    <w:sz w:val="18"/>
                    <w:szCs w:val="18"/>
                    <w:lang w:val="en-US" w:eastAsia="ko-KR"/>
                  </w:rPr>
                  <m:t>=</m:t>
                </m:r>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co</m:t>
                    </m:r>
                  </m:e>
                  <m:sub>
                    <m:r>
                      <w:rPr>
                        <w:rFonts w:ascii="Cambria Math" w:hAnsi="Cambria Math" w:cs="Arial"/>
                        <w:sz w:val="18"/>
                        <w:szCs w:val="18"/>
                        <w:lang w:val="en-US" w:eastAsia="ko-KR"/>
                      </w:rPr>
                      <m:t>t</m:t>
                    </m:r>
                  </m:sub>
                </m:sSub>
                <m:r>
                  <w:rPr>
                    <w:rFonts w:ascii="Cambria Math" w:hAnsi="Cambria Math" w:cs="Arial"/>
                    <w:sz w:val="18"/>
                    <w:szCs w:val="18"/>
                    <w:lang w:val="en-US" w:eastAsia="ko-KR"/>
                  </w:rPr>
                  <m:t>∙0.3</m:t>
                </m:r>
              </m:oMath>
            </m:oMathPara>
          </w:p>
        </w:tc>
        <w:tc>
          <w:tcPr>
            <w:tcW w:w="456" w:type="dxa"/>
            <w:vAlign w:val="center"/>
          </w:tcPr>
          <w:p w14:paraId="1CCEF434" w14:textId="1B9BB43E" w:rsidR="00516374" w:rsidRPr="00516374" w:rsidRDefault="00516374" w:rsidP="00516374">
            <w:pPr>
              <w:jc w:val="center"/>
              <w:rPr>
                <w:rFonts w:ascii="Arial" w:hAnsi="Arial" w:cs="Arial"/>
                <w:sz w:val="14"/>
                <w:szCs w:val="14"/>
                <w:lang w:eastAsia="ko-KR"/>
              </w:rPr>
            </w:pPr>
            <w:r w:rsidRPr="00516374">
              <w:rPr>
                <w:rFonts w:ascii="Arial" w:hAnsi="Arial" w:cs="Arial"/>
                <w:sz w:val="14"/>
                <w:szCs w:val="14"/>
                <w:lang w:eastAsia="ko-KR"/>
              </w:rPr>
              <w:t>(3)</w:t>
            </w:r>
          </w:p>
        </w:tc>
      </w:tr>
      <w:tr w:rsidR="00516374" w:rsidRPr="00516374" w14:paraId="15F68B76" w14:textId="77777777" w:rsidTr="00117699">
        <w:trPr>
          <w:trHeight w:val="432"/>
        </w:trPr>
        <w:tc>
          <w:tcPr>
            <w:tcW w:w="2785" w:type="dxa"/>
            <w:vAlign w:val="center"/>
          </w:tcPr>
          <w:p w14:paraId="4CB370EC" w14:textId="78B77C83" w:rsidR="00516374" w:rsidRPr="00516374" w:rsidRDefault="00516374" w:rsidP="00516374">
            <w:pPr>
              <w:rPr>
                <w:rFonts w:ascii="Arial" w:hAnsi="Arial" w:cs="Arial"/>
                <w:i/>
                <w:iCs/>
                <w:sz w:val="16"/>
                <w:szCs w:val="16"/>
                <w:lang w:eastAsia="ko-KR"/>
              </w:rPr>
            </w:pPr>
            <w:r>
              <w:rPr>
                <w:rFonts w:ascii="Arial" w:hAnsi="Arial" w:cs="Arial"/>
                <w:i/>
                <w:iCs/>
                <w:sz w:val="16"/>
                <w:szCs w:val="16"/>
                <w:lang w:eastAsia="ko-KR"/>
              </w:rPr>
              <w:t>Ahorro total</w:t>
            </w:r>
          </w:p>
        </w:tc>
        <w:tc>
          <w:tcPr>
            <w:tcW w:w="6109" w:type="dxa"/>
            <w:vAlign w:val="center"/>
          </w:tcPr>
          <w:p w14:paraId="1AFFFCB5" w14:textId="7DFD7BE0" w:rsidR="00516374" w:rsidRPr="00516374" w:rsidRDefault="00C014EC" w:rsidP="00516374">
            <w:pPr>
              <w:jc w:val="center"/>
              <w:rPr>
                <w:rFonts w:ascii="Arial" w:hAnsi="Arial" w:cs="Arial"/>
                <w:i/>
                <w:sz w:val="18"/>
                <w:szCs w:val="18"/>
                <w:lang w:val="en-US" w:eastAsia="ko-KR"/>
              </w:rPr>
            </w:pPr>
            <m:oMathPara>
              <m:oMath>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IH</m:t>
                    </m:r>
                  </m:e>
                  <m:sub>
                    <m:r>
                      <w:rPr>
                        <w:rFonts w:ascii="Cambria Math" w:hAnsi="Cambria Math" w:cs="Arial"/>
                        <w:sz w:val="18"/>
                        <w:szCs w:val="18"/>
                        <w:lang w:val="en-US" w:eastAsia="ko-KR"/>
                      </w:rPr>
                      <m:t>t</m:t>
                    </m:r>
                  </m:sub>
                </m:sSub>
                <m:r>
                  <w:rPr>
                    <w:rFonts w:ascii="Cambria Math" w:hAnsi="Cambria Math" w:cs="Arial"/>
                    <w:sz w:val="18"/>
                    <w:szCs w:val="18"/>
                    <w:lang w:val="en-US" w:eastAsia="ko-KR"/>
                  </w:rPr>
                  <m:t>+</m:t>
                </m:r>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ID</m:t>
                    </m:r>
                  </m:e>
                  <m:sub>
                    <m:r>
                      <w:rPr>
                        <w:rFonts w:ascii="Cambria Math" w:hAnsi="Cambria Math" w:cs="Arial"/>
                        <w:sz w:val="18"/>
                        <w:szCs w:val="18"/>
                        <w:lang w:val="en-US" w:eastAsia="ko-KR"/>
                      </w:rPr>
                      <m:t>t</m:t>
                    </m:r>
                  </m:sub>
                </m:sSub>
                <m:r>
                  <w:rPr>
                    <w:rFonts w:ascii="Cambria Math" w:hAnsi="Cambria Math" w:cs="Arial"/>
                    <w:sz w:val="18"/>
                    <w:szCs w:val="18"/>
                    <w:lang w:val="en-US" w:eastAsia="ko-KR"/>
                  </w:rPr>
                  <m:t>+</m:t>
                </m:r>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EP</m:t>
                    </m:r>
                  </m:e>
                  <m:sub>
                    <m:r>
                      <w:rPr>
                        <w:rFonts w:ascii="Cambria Math" w:hAnsi="Cambria Math" w:cs="Arial"/>
                        <w:sz w:val="18"/>
                        <w:szCs w:val="18"/>
                        <w:lang w:val="en-US" w:eastAsia="ko-KR"/>
                      </w:rPr>
                      <m:t>t</m:t>
                    </m:r>
                  </m:sub>
                </m:sSub>
              </m:oMath>
            </m:oMathPara>
          </w:p>
        </w:tc>
        <w:tc>
          <w:tcPr>
            <w:tcW w:w="456" w:type="dxa"/>
            <w:vAlign w:val="center"/>
          </w:tcPr>
          <w:p w14:paraId="698E5F9A" w14:textId="677F9A7A" w:rsidR="00516374" w:rsidRPr="00516374" w:rsidRDefault="00516374" w:rsidP="00516374">
            <w:pPr>
              <w:jc w:val="center"/>
              <w:rPr>
                <w:rFonts w:ascii="Arial" w:hAnsi="Arial" w:cs="Arial"/>
                <w:sz w:val="14"/>
                <w:szCs w:val="14"/>
                <w:lang w:eastAsia="ko-KR"/>
              </w:rPr>
            </w:pPr>
            <w:r>
              <w:rPr>
                <w:rFonts w:ascii="Arial" w:hAnsi="Arial" w:cs="Arial"/>
                <w:sz w:val="14"/>
                <w:szCs w:val="14"/>
                <w:lang w:eastAsia="ko-KR"/>
              </w:rPr>
              <w:t>(4)</w:t>
            </w:r>
          </w:p>
        </w:tc>
      </w:tr>
    </w:tbl>
    <w:p w14:paraId="1AD878BF" w14:textId="665E7338" w:rsidR="00516374" w:rsidRDefault="00516374" w:rsidP="00D72D0E">
      <w:pPr>
        <w:jc w:val="both"/>
        <w:rPr>
          <w:rFonts w:ascii="Arial" w:hAnsi="Arial" w:cs="Arial"/>
          <w:sz w:val="22"/>
          <w:szCs w:val="22"/>
          <w:lang w:eastAsia="ko-KR"/>
        </w:rPr>
      </w:pPr>
    </w:p>
    <w:p w14:paraId="63C2185A" w14:textId="5BB09802" w:rsidR="00EC7465" w:rsidRPr="007A0A73" w:rsidRDefault="00117699" w:rsidP="00D72D0E">
      <w:pPr>
        <w:jc w:val="both"/>
        <w:rPr>
          <w:rFonts w:ascii="Arial" w:hAnsi="Arial" w:cs="Arial"/>
          <w:sz w:val="22"/>
          <w:szCs w:val="22"/>
          <w:lang w:eastAsia="ko-KR"/>
        </w:rPr>
      </w:pPr>
      <w:r w:rsidRPr="001C050F">
        <w:rPr>
          <w:rFonts w:ascii="Arial" w:hAnsi="Arial" w:cs="Arial"/>
          <w:sz w:val="22"/>
          <w:szCs w:val="22"/>
          <w:lang w:eastAsia="ko-KR"/>
        </w:rPr>
        <w:t xml:space="preserve">donde </w:t>
      </w:r>
      <m:oMath>
        <m:sSub>
          <m:sSubPr>
            <m:ctrlPr>
              <w:rPr>
                <w:rFonts w:ascii="Cambria Math" w:hAnsi="Cambria Math" w:cs="Arial"/>
                <w:i/>
                <w:sz w:val="22"/>
                <w:szCs w:val="22"/>
                <w:lang w:val="en-US" w:eastAsia="ko-KR"/>
              </w:rPr>
            </m:ctrlPr>
          </m:sSubPr>
          <m:e>
            <m:r>
              <w:rPr>
                <w:rFonts w:ascii="Cambria Math" w:hAnsi="Cambria Math" w:cs="Arial"/>
                <w:sz w:val="22"/>
                <w:szCs w:val="22"/>
                <w:lang w:val="en-US" w:eastAsia="ko-KR"/>
              </w:rPr>
              <m:t>S</m:t>
            </m:r>
          </m:e>
          <m:sub>
            <m:r>
              <w:rPr>
                <w:rFonts w:ascii="Cambria Math" w:hAnsi="Cambria Math" w:cs="Arial"/>
                <w:sz w:val="22"/>
                <w:szCs w:val="22"/>
                <w:lang w:val="en-US" w:eastAsia="ko-KR"/>
              </w:rPr>
              <m:t>t</m:t>
            </m:r>
          </m:sub>
        </m:sSub>
      </m:oMath>
      <w:r w:rsidR="00364524" w:rsidRPr="001C050F">
        <w:rPr>
          <w:rFonts w:ascii="Arial" w:hAnsi="Arial" w:cs="Arial"/>
          <w:sz w:val="22"/>
          <w:szCs w:val="22"/>
          <w:lang w:eastAsia="ko-KR"/>
        </w:rPr>
        <w:t xml:space="preserve"> corresponde al ahorro en ingresos hospitalarios per cápita; para esto, seguimos las </w:t>
      </w:r>
      <w:r w:rsidR="00364524" w:rsidRPr="00752DB9">
        <w:rPr>
          <w:rFonts w:ascii="Arial" w:hAnsi="Arial" w:cs="Arial"/>
          <w:sz w:val="22"/>
          <w:szCs w:val="22"/>
          <w:lang w:eastAsia="ko-KR"/>
        </w:rPr>
        <w:t xml:space="preserve">estimaciones de </w:t>
      </w:r>
      <w:proofErr w:type="spellStart"/>
      <w:r w:rsidR="00364524" w:rsidRPr="00752DB9">
        <w:rPr>
          <w:rFonts w:ascii="Arial" w:hAnsi="Arial" w:cs="Arial"/>
          <w:sz w:val="22"/>
          <w:szCs w:val="22"/>
          <w:lang w:eastAsia="ko-KR"/>
        </w:rPr>
        <w:t>Vest</w:t>
      </w:r>
      <w:proofErr w:type="spellEnd"/>
      <w:r w:rsidR="00364524" w:rsidRPr="00752DB9">
        <w:rPr>
          <w:rFonts w:ascii="Arial" w:hAnsi="Arial" w:cs="Arial"/>
          <w:sz w:val="22"/>
          <w:szCs w:val="22"/>
          <w:lang w:eastAsia="ko-KR"/>
        </w:rPr>
        <w:t xml:space="preserve"> et al. (2014) en Rochester, Estados Unidos sobre los ahorros anuales por admisiones hospitalarias evitables de $357,552 dólares al proporcionar datos clínicos relevantes, acceso a listas de médicas, entre otros. </w:t>
      </w:r>
      <m:oMath>
        <m:sSub>
          <m:sSubPr>
            <m:ctrlPr>
              <w:rPr>
                <w:rFonts w:ascii="Cambria Math" w:hAnsi="Cambria Math" w:cs="Arial"/>
                <w:i/>
                <w:sz w:val="22"/>
                <w:szCs w:val="22"/>
                <w:lang w:val="en-US" w:eastAsia="ko-KR"/>
              </w:rPr>
            </m:ctrlPr>
          </m:sSubPr>
          <m:e>
            <m:r>
              <w:rPr>
                <w:rFonts w:ascii="Cambria Math" w:hAnsi="Cambria Math" w:cs="Arial"/>
                <w:sz w:val="22"/>
                <w:szCs w:val="22"/>
                <w:lang w:val="en-US" w:eastAsia="ko-KR"/>
              </w:rPr>
              <m:t>pob</m:t>
            </m:r>
          </m:e>
          <m:sub>
            <m:r>
              <w:rPr>
                <w:rFonts w:ascii="Cambria Math" w:hAnsi="Cambria Math" w:cs="Arial"/>
                <w:sz w:val="22"/>
                <w:szCs w:val="22"/>
                <w:lang w:val="en-US" w:eastAsia="ko-KR"/>
              </w:rPr>
              <m:t>t</m:t>
            </m:r>
          </m:sub>
        </m:sSub>
      </m:oMath>
      <w:r w:rsidR="00364524" w:rsidRPr="00752DB9">
        <w:rPr>
          <w:rFonts w:ascii="Arial" w:hAnsi="Arial" w:cs="Arial"/>
          <w:sz w:val="22"/>
          <w:szCs w:val="22"/>
          <w:lang w:eastAsia="ko-KR"/>
        </w:rPr>
        <w:t xml:space="preserve"> corresponde a </w:t>
      </w:r>
      <w:r w:rsidR="00AE7147" w:rsidRPr="00752DB9">
        <w:rPr>
          <w:rFonts w:ascii="Arial" w:hAnsi="Arial" w:cs="Arial"/>
          <w:sz w:val="22"/>
          <w:szCs w:val="22"/>
          <w:lang w:eastAsia="ko-KR"/>
        </w:rPr>
        <w:t xml:space="preserve">la población objetivo del programa. </w:t>
      </w:r>
      <m:oMath>
        <m:sSub>
          <m:sSubPr>
            <m:ctrlPr>
              <w:rPr>
                <w:rFonts w:ascii="Cambria Math" w:hAnsi="Cambria Math" w:cs="Arial"/>
                <w:i/>
                <w:sz w:val="22"/>
                <w:szCs w:val="22"/>
                <w:lang w:val="en-US" w:eastAsia="ko-KR"/>
              </w:rPr>
            </m:ctrlPr>
          </m:sSubPr>
          <m:e>
            <m:r>
              <w:rPr>
                <w:rFonts w:ascii="Cambria Math" w:hAnsi="Cambria Math" w:cs="Arial"/>
                <w:sz w:val="22"/>
                <w:szCs w:val="22"/>
                <w:lang w:val="en-US" w:eastAsia="ko-KR"/>
              </w:rPr>
              <m:t>n</m:t>
            </m:r>
          </m:e>
          <m:sub>
            <m:r>
              <w:rPr>
                <w:rFonts w:ascii="Cambria Math" w:hAnsi="Cambria Math" w:cs="Arial"/>
                <w:sz w:val="22"/>
                <w:szCs w:val="22"/>
                <w:lang w:val="en-US" w:eastAsia="ko-KR"/>
              </w:rPr>
              <m:t>k</m:t>
            </m:r>
            <m:r>
              <w:rPr>
                <w:rFonts w:ascii="Cambria Math" w:hAnsi="Cambria Math" w:cs="Arial"/>
                <w:sz w:val="22"/>
                <w:szCs w:val="22"/>
                <w:lang w:eastAsia="ko-KR"/>
              </w:rPr>
              <m:t>,</m:t>
            </m:r>
            <m:r>
              <w:rPr>
                <w:rFonts w:ascii="Cambria Math" w:hAnsi="Cambria Math" w:cs="Arial"/>
                <w:sz w:val="22"/>
                <w:szCs w:val="22"/>
                <w:lang w:val="en-US" w:eastAsia="ko-KR"/>
              </w:rPr>
              <m:t>t</m:t>
            </m:r>
          </m:sub>
        </m:sSub>
      </m:oMath>
      <w:r w:rsidR="00DC6C28" w:rsidRPr="00752DB9">
        <w:rPr>
          <w:rFonts w:ascii="Arial" w:hAnsi="Arial" w:cs="Arial"/>
          <w:sz w:val="18"/>
          <w:szCs w:val="18"/>
          <w:lang w:eastAsia="ko-KR"/>
        </w:rPr>
        <w:t xml:space="preserve"> </w:t>
      </w:r>
      <w:r w:rsidR="00AE7147" w:rsidRPr="00752DB9">
        <w:rPr>
          <w:rFonts w:ascii="Arial" w:hAnsi="Arial" w:cs="Arial"/>
          <w:sz w:val="22"/>
          <w:szCs w:val="22"/>
          <w:lang w:eastAsia="ko-KR"/>
        </w:rPr>
        <w:t>corresponde a</w:t>
      </w:r>
      <w:r w:rsidR="001C050F" w:rsidRPr="00752DB9">
        <w:rPr>
          <w:rFonts w:ascii="Arial" w:hAnsi="Arial" w:cs="Arial"/>
          <w:sz w:val="22"/>
          <w:szCs w:val="22"/>
          <w:lang w:eastAsia="ko-KR"/>
        </w:rPr>
        <w:t xml:space="preserve">l número de imágenes diagnósticas </w:t>
      </w:r>
      <m:oMath>
        <m:r>
          <w:rPr>
            <w:rFonts w:ascii="Cambria Math" w:hAnsi="Cambria Math" w:cs="Arial"/>
            <w:sz w:val="22"/>
            <w:szCs w:val="22"/>
            <w:lang w:eastAsia="ko-KR"/>
          </w:rPr>
          <m:t>k</m:t>
        </m:r>
      </m:oMath>
      <w:r w:rsidR="001C050F" w:rsidRPr="00752DB9">
        <w:rPr>
          <w:rFonts w:ascii="Arial" w:hAnsi="Arial" w:cs="Arial"/>
          <w:sz w:val="22"/>
          <w:szCs w:val="22"/>
          <w:lang w:eastAsia="ko-KR"/>
        </w:rPr>
        <w:t xml:space="preserve"> (tomografía computarizada, ultrasónicos y rayos x) </w:t>
      </w:r>
      <w:r w:rsidR="00DC6C28" w:rsidRPr="00752DB9">
        <w:rPr>
          <w:rFonts w:ascii="Arial" w:hAnsi="Arial" w:cs="Arial"/>
          <w:sz w:val="22"/>
          <w:szCs w:val="22"/>
          <w:lang w:eastAsia="ko-KR"/>
        </w:rPr>
        <w:t xml:space="preserve">realizadas y </w:t>
      </w:r>
      <m:oMath>
        <m:sSub>
          <m:sSubPr>
            <m:ctrlPr>
              <w:rPr>
                <w:rFonts w:ascii="Cambria Math" w:hAnsi="Cambria Math" w:cs="Arial"/>
                <w:i/>
                <w:sz w:val="18"/>
                <w:szCs w:val="18"/>
                <w:lang w:val="en-US" w:eastAsia="ko-KR"/>
              </w:rPr>
            </m:ctrlPr>
          </m:sSubPr>
          <m:e>
            <m:r>
              <w:rPr>
                <w:rFonts w:ascii="Cambria Math" w:hAnsi="Cambria Math" w:cs="Arial"/>
                <w:sz w:val="18"/>
                <w:szCs w:val="18"/>
                <w:lang w:val="en-US" w:eastAsia="ko-KR"/>
              </w:rPr>
              <m:t>p</m:t>
            </m:r>
          </m:e>
          <m:sub>
            <m:r>
              <w:rPr>
                <w:rFonts w:ascii="Cambria Math" w:hAnsi="Cambria Math" w:cs="Arial"/>
                <w:sz w:val="18"/>
                <w:szCs w:val="18"/>
                <w:lang w:val="en-US" w:eastAsia="ko-KR"/>
              </w:rPr>
              <m:t>k</m:t>
            </m:r>
            <m:r>
              <w:rPr>
                <w:rFonts w:ascii="Cambria Math" w:hAnsi="Cambria Math" w:cs="Arial"/>
                <w:sz w:val="18"/>
                <w:szCs w:val="18"/>
                <w:lang w:eastAsia="ko-KR"/>
              </w:rPr>
              <m:t>,</m:t>
            </m:r>
            <m:r>
              <w:rPr>
                <w:rFonts w:ascii="Cambria Math" w:hAnsi="Cambria Math" w:cs="Arial"/>
                <w:sz w:val="18"/>
                <w:szCs w:val="18"/>
                <w:lang w:val="en-US" w:eastAsia="ko-KR"/>
              </w:rPr>
              <m:t>t</m:t>
            </m:r>
          </m:sub>
        </m:sSub>
      </m:oMath>
      <w:r w:rsidR="00DC6C28" w:rsidRPr="00752DB9">
        <w:rPr>
          <w:rFonts w:ascii="Arial" w:hAnsi="Arial" w:cs="Arial"/>
          <w:sz w:val="22"/>
          <w:szCs w:val="22"/>
          <w:lang w:eastAsia="ko-KR"/>
        </w:rPr>
        <w:t xml:space="preserve"> corresponde al precio unitario de cada imagen diagnóstica </w:t>
      </w:r>
      <m:oMath>
        <m:r>
          <w:rPr>
            <w:rFonts w:ascii="Cambria Math" w:hAnsi="Cambria Math" w:cs="Arial"/>
            <w:sz w:val="22"/>
            <w:szCs w:val="22"/>
            <w:lang w:eastAsia="ko-KR"/>
          </w:rPr>
          <m:t>k</m:t>
        </m:r>
      </m:oMath>
      <w:r w:rsidR="00DC6C28" w:rsidRPr="00752DB9">
        <w:rPr>
          <w:rFonts w:ascii="Arial" w:hAnsi="Arial" w:cs="Arial"/>
          <w:sz w:val="22"/>
          <w:szCs w:val="22"/>
          <w:lang w:eastAsia="ko-KR"/>
        </w:rPr>
        <w:t xml:space="preserve"> </w:t>
      </w:r>
      <w:r w:rsidR="001C050F" w:rsidRPr="00752DB9">
        <w:rPr>
          <w:rFonts w:ascii="Arial" w:hAnsi="Arial" w:cs="Arial"/>
          <w:sz w:val="22"/>
          <w:szCs w:val="22"/>
          <w:lang w:eastAsia="ko-KR"/>
        </w:rPr>
        <w:t xml:space="preserve">en el año </w:t>
      </w:r>
      <m:oMath>
        <m:r>
          <w:rPr>
            <w:rFonts w:ascii="Cambria Math" w:hAnsi="Cambria Math" w:cs="Arial"/>
            <w:sz w:val="22"/>
            <w:szCs w:val="22"/>
            <w:lang w:eastAsia="ko-KR"/>
          </w:rPr>
          <m:t>t</m:t>
        </m:r>
      </m:oMath>
      <w:r w:rsidR="00DC6C28" w:rsidRPr="00752DB9">
        <w:rPr>
          <w:rFonts w:ascii="Arial" w:hAnsi="Arial" w:cs="Arial"/>
          <w:sz w:val="22"/>
          <w:szCs w:val="22"/>
          <w:lang w:eastAsia="ko-KR"/>
        </w:rPr>
        <w:t>; datos</w:t>
      </w:r>
      <w:r w:rsidR="001C050F" w:rsidRPr="00752DB9">
        <w:rPr>
          <w:rFonts w:ascii="Arial" w:hAnsi="Arial" w:cs="Arial"/>
          <w:sz w:val="22"/>
          <w:szCs w:val="22"/>
          <w:lang w:eastAsia="ko-KR"/>
        </w:rPr>
        <w:t xml:space="preserve"> disponibles en el sistema de informaciones del Ministerio de Salud de Brasil (</w:t>
      </w:r>
      <w:hyperlink r:id="rId31" w:history="1">
        <w:r w:rsidR="001C050F" w:rsidRPr="00752DB9">
          <w:rPr>
            <w:rStyle w:val="Hyperlink"/>
            <w:rFonts w:ascii="Arial" w:hAnsi="Arial" w:cs="Arial"/>
            <w:sz w:val="22"/>
            <w:szCs w:val="22"/>
            <w:lang w:eastAsia="ko-KR"/>
          </w:rPr>
          <w:t>www.datasus.gov.br</w:t>
        </w:r>
      </w:hyperlink>
      <w:r w:rsidR="001C050F" w:rsidRPr="00752DB9">
        <w:rPr>
          <w:rFonts w:ascii="Arial" w:hAnsi="Arial" w:cs="Arial"/>
          <w:sz w:val="22"/>
          <w:szCs w:val="22"/>
          <w:lang w:eastAsia="ko-KR"/>
        </w:rPr>
        <w:t xml:space="preserve">). </w:t>
      </w:r>
      <m:oMath>
        <m:sSub>
          <m:sSubPr>
            <m:ctrlPr>
              <w:rPr>
                <w:rFonts w:ascii="Cambria Math" w:hAnsi="Cambria Math" w:cs="Arial"/>
                <w:i/>
                <w:sz w:val="22"/>
                <w:szCs w:val="22"/>
                <w:lang w:val="en-US" w:eastAsia="ko-KR"/>
              </w:rPr>
            </m:ctrlPr>
          </m:sSubPr>
          <m:e>
            <m:acc>
              <m:accPr>
                <m:chr m:val="̃"/>
                <m:ctrlPr>
                  <w:rPr>
                    <w:rFonts w:ascii="Cambria Math" w:hAnsi="Cambria Math" w:cs="Arial"/>
                    <w:i/>
                    <w:sz w:val="22"/>
                    <w:szCs w:val="22"/>
                    <w:lang w:val="en-US" w:eastAsia="ko-KR"/>
                  </w:rPr>
                </m:ctrlPr>
              </m:accPr>
              <m:e>
                <m:r>
                  <w:rPr>
                    <w:rFonts w:ascii="Cambria Math" w:hAnsi="Cambria Math" w:cs="Arial"/>
                    <w:sz w:val="22"/>
                    <w:szCs w:val="22"/>
                    <w:lang w:val="en-US" w:eastAsia="ko-KR"/>
                  </w:rPr>
                  <m:t>pr</m:t>
                </m:r>
              </m:e>
            </m:acc>
          </m:e>
          <m:sub>
            <m:d>
              <m:dPr>
                <m:begChr m:val="{"/>
                <m:endChr m:val="}"/>
                <m:ctrlPr>
                  <w:rPr>
                    <w:rFonts w:ascii="Cambria Math" w:hAnsi="Cambria Math" w:cs="Arial"/>
                    <w:i/>
                    <w:sz w:val="22"/>
                    <w:szCs w:val="22"/>
                    <w:lang w:val="en-US" w:eastAsia="ko-KR"/>
                  </w:rPr>
                </m:ctrlPr>
              </m:dPr>
              <m:e>
                <m:r>
                  <w:rPr>
                    <w:rFonts w:ascii="Cambria Math" w:hAnsi="Cambria Math" w:cs="Arial"/>
                    <w:sz w:val="22"/>
                    <w:szCs w:val="22"/>
                    <w:lang w:val="en-US" w:eastAsia="ko-KR"/>
                  </w:rPr>
                  <m:t>k</m:t>
                </m:r>
              </m:e>
            </m:d>
          </m:sub>
        </m:sSub>
      </m:oMath>
      <w:r w:rsidR="001C050F" w:rsidRPr="00752DB9">
        <w:rPr>
          <w:rFonts w:ascii="Arial" w:hAnsi="Arial" w:cs="Arial"/>
          <w:sz w:val="22"/>
          <w:szCs w:val="22"/>
          <w:lang w:eastAsia="ko-KR"/>
        </w:rPr>
        <w:t xml:space="preserve"> corresponde </w:t>
      </w:r>
      <w:r w:rsidR="00F93E48" w:rsidRPr="00752DB9">
        <w:rPr>
          <w:rFonts w:ascii="Arial" w:hAnsi="Arial" w:cs="Arial"/>
          <w:sz w:val="22"/>
          <w:szCs w:val="22"/>
          <w:lang w:eastAsia="ko-KR"/>
        </w:rPr>
        <w:t xml:space="preserve">a la probabilidad de reducir el número de imágenes diagnósticas </w:t>
      </w:r>
      <m:oMath>
        <m:r>
          <w:rPr>
            <w:rFonts w:ascii="Cambria Math" w:hAnsi="Cambria Math" w:cs="Arial"/>
            <w:sz w:val="22"/>
            <w:szCs w:val="22"/>
            <w:lang w:eastAsia="ko-KR"/>
          </w:rPr>
          <m:t>k</m:t>
        </m:r>
      </m:oMath>
      <w:r w:rsidR="00F93E48" w:rsidRPr="00752DB9">
        <w:rPr>
          <w:rFonts w:ascii="Arial" w:hAnsi="Arial" w:cs="Arial"/>
          <w:sz w:val="22"/>
          <w:szCs w:val="22"/>
          <w:lang w:eastAsia="ko-KR"/>
        </w:rPr>
        <w:t xml:space="preserve"> estimadas por Lammers et al. (2014)</w:t>
      </w:r>
      <w:r w:rsidR="00C54B1E" w:rsidRPr="00752DB9">
        <w:rPr>
          <w:rFonts w:ascii="Arial" w:hAnsi="Arial" w:cs="Arial"/>
          <w:sz w:val="22"/>
          <w:szCs w:val="22"/>
          <w:lang w:eastAsia="ko-KR"/>
        </w:rPr>
        <w:t>; los autores encontraron que la implementación de HIE está asociada con una reducción en la repetición de imágenes diagnósticas en el departamento de emergencias de 8.7 puntos porcentuales (</w:t>
      </w:r>
      <w:proofErr w:type="spellStart"/>
      <w:r w:rsidR="00C54B1E" w:rsidRPr="00752DB9">
        <w:rPr>
          <w:rFonts w:ascii="Arial" w:hAnsi="Arial" w:cs="Arial"/>
          <w:sz w:val="22"/>
          <w:szCs w:val="22"/>
          <w:lang w:eastAsia="ko-KR"/>
        </w:rPr>
        <w:t>pp</w:t>
      </w:r>
      <w:proofErr w:type="spellEnd"/>
      <w:r w:rsidR="00C54B1E" w:rsidRPr="00752DB9">
        <w:rPr>
          <w:rFonts w:ascii="Arial" w:hAnsi="Arial" w:cs="Arial"/>
          <w:sz w:val="22"/>
          <w:szCs w:val="22"/>
          <w:lang w:eastAsia="ko-KR"/>
        </w:rPr>
        <w:t xml:space="preserve">) para tomografías computarizadas, 9.1 </w:t>
      </w:r>
      <w:proofErr w:type="spellStart"/>
      <w:r w:rsidR="00C54B1E" w:rsidRPr="00752DB9">
        <w:rPr>
          <w:rFonts w:ascii="Arial" w:hAnsi="Arial" w:cs="Arial"/>
          <w:sz w:val="22"/>
          <w:szCs w:val="22"/>
          <w:lang w:eastAsia="ko-KR"/>
        </w:rPr>
        <w:t>pp</w:t>
      </w:r>
      <w:proofErr w:type="spellEnd"/>
      <w:r w:rsidR="00C54B1E" w:rsidRPr="00752DB9">
        <w:rPr>
          <w:rFonts w:ascii="Arial" w:hAnsi="Arial" w:cs="Arial"/>
          <w:sz w:val="22"/>
          <w:szCs w:val="22"/>
          <w:lang w:eastAsia="ko-KR"/>
        </w:rPr>
        <w:t xml:space="preserve"> para ultrasonidos y 13 </w:t>
      </w:r>
      <w:proofErr w:type="spellStart"/>
      <w:r w:rsidR="00C54B1E" w:rsidRPr="00752DB9">
        <w:rPr>
          <w:rFonts w:ascii="Arial" w:hAnsi="Arial" w:cs="Arial"/>
          <w:sz w:val="22"/>
          <w:szCs w:val="22"/>
          <w:lang w:eastAsia="ko-KR"/>
        </w:rPr>
        <w:t>pp</w:t>
      </w:r>
      <w:proofErr w:type="spellEnd"/>
      <w:r w:rsidR="00C54B1E" w:rsidRPr="00752DB9">
        <w:rPr>
          <w:rFonts w:ascii="Arial" w:hAnsi="Arial" w:cs="Arial"/>
          <w:sz w:val="22"/>
          <w:szCs w:val="22"/>
          <w:lang w:eastAsia="ko-KR"/>
        </w:rPr>
        <w:t xml:space="preserve"> para radiografías del tórax. </w:t>
      </w:r>
      <m:oMath>
        <m:sSub>
          <m:sSubPr>
            <m:ctrlPr>
              <w:rPr>
                <w:rFonts w:ascii="Cambria Math" w:hAnsi="Cambria Math" w:cs="Arial"/>
                <w:i/>
                <w:sz w:val="22"/>
                <w:szCs w:val="22"/>
                <w:lang w:val="en-US" w:eastAsia="ko-KR"/>
              </w:rPr>
            </m:ctrlPr>
          </m:sSubPr>
          <m:e>
            <m:r>
              <w:rPr>
                <w:rFonts w:ascii="Cambria Math" w:hAnsi="Cambria Math" w:cs="Arial"/>
                <w:sz w:val="22"/>
                <w:szCs w:val="22"/>
                <w:lang w:val="en-US" w:eastAsia="ko-KR"/>
              </w:rPr>
              <m:t>co</m:t>
            </m:r>
          </m:e>
          <m:sub>
            <m:r>
              <w:rPr>
                <w:rFonts w:ascii="Cambria Math" w:hAnsi="Cambria Math" w:cs="Arial"/>
                <w:sz w:val="22"/>
                <w:szCs w:val="22"/>
                <w:lang w:val="en-US" w:eastAsia="ko-KR"/>
              </w:rPr>
              <m:t>t</m:t>
            </m:r>
          </m:sub>
        </m:sSub>
      </m:oMath>
      <w:r w:rsidR="00DE69FC" w:rsidRPr="00752DB9">
        <w:rPr>
          <w:rFonts w:ascii="Arial" w:hAnsi="Arial" w:cs="Arial"/>
          <w:sz w:val="22"/>
          <w:szCs w:val="22"/>
          <w:lang w:eastAsia="ko-KR"/>
        </w:rPr>
        <w:t xml:space="preserve"> corresponde a</w:t>
      </w:r>
      <w:r w:rsidR="007A0A73" w:rsidRPr="00752DB9">
        <w:rPr>
          <w:rFonts w:ascii="Arial" w:hAnsi="Arial" w:cs="Arial"/>
          <w:sz w:val="22"/>
          <w:szCs w:val="22"/>
          <w:lang w:eastAsia="ko-KR"/>
        </w:rPr>
        <w:t>l costo del total</w:t>
      </w:r>
      <w:r w:rsidR="00DE69FC" w:rsidRPr="00752DB9">
        <w:rPr>
          <w:rFonts w:ascii="Arial" w:hAnsi="Arial" w:cs="Arial"/>
          <w:sz w:val="22"/>
          <w:szCs w:val="22"/>
          <w:lang w:eastAsia="ko-KR"/>
        </w:rPr>
        <w:t xml:space="preserve"> camas hospitalarias</w:t>
      </w:r>
      <w:r w:rsidR="007A0A73" w:rsidRPr="00752DB9">
        <w:rPr>
          <w:rFonts w:ascii="Arial" w:hAnsi="Arial" w:cs="Arial"/>
          <w:sz w:val="22"/>
          <w:szCs w:val="22"/>
          <w:lang w:eastAsia="ko-KR"/>
        </w:rPr>
        <w:t xml:space="preserve"> ocupadas</w:t>
      </w:r>
      <w:r w:rsidR="00DE69FC" w:rsidRPr="00752DB9">
        <w:rPr>
          <w:rFonts w:ascii="Arial" w:hAnsi="Arial" w:cs="Arial"/>
          <w:sz w:val="22"/>
          <w:szCs w:val="22"/>
          <w:lang w:eastAsia="ko-KR"/>
        </w:rPr>
        <w:t xml:space="preserve"> al año, calculado como el porcentaje de ocupación media en Brasil</w:t>
      </w:r>
      <w:r w:rsidR="00D62F4C">
        <w:rPr>
          <w:rFonts w:ascii="Arial" w:hAnsi="Arial" w:cs="Arial"/>
          <w:sz w:val="22"/>
          <w:szCs w:val="22"/>
          <w:lang w:eastAsia="ko-KR"/>
        </w:rPr>
        <w:t xml:space="preserve"> (50% a 60% en hospitales de tamaño medio)</w:t>
      </w:r>
      <w:r w:rsidR="00DE69FC" w:rsidRPr="00752DB9">
        <w:rPr>
          <w:rFonts w:ascii="Arial" w:hAnsi="Arial" w:cs="Arial"/>
          <w:sz w:val="22"/>
          <w:szCs w:val="22"/>
          <w:lang w:eastAsia="ko-KR"/>
        </w:rPr>
        <w:t xml:space="preserve">, multiplicado por el número de camas hospitalarias en </w:t>
      </w:r>
      <w:hyperlink r:id="rId32" w:history="1">
        <w:r w:rsidR="00DE69FC" w:rsidRPr="00752DB9">
          <w:rPr>
            <w:rStyle w:val="Hyperlink"/>
            <w:rFonts w:ascii="Arial" w:hAnsi="Arial" w:cs="Arial"/>
            <w:sz w:val="22"/>
            <w:szCs w:val="22"/>
            <w:lang w:eastAsia="ko-KR"/>
          </w:rPr>
          <w:t>2017</w:t>
        </w:r>
      </w:hyperlink>
      <w:r w:rsidR="00DE69FC" w:rsidRPr="00752DB9">
        <w:rPr>
          <w:rFonts w:ascii="Arial" w:hAnsi="Arial" w:cs="Arial"/>
          <w:sz w:val="22"/>
          <w:szCs w:val="22"/>
          <w:lang w:eastAsia="ko-KR"/>
        </w:rPr>
        <w:t xml:space="preserve"> reportadas por la Organización Mundial de la Salud</w:t>
      </w:r>
      <w:r w:rsidR="00AD64F2" w:rsidRPr="00752DB9">
        <w:rPr>
          <w:rFonts w:ascii="Arial" w:hAnsi="Arial" w:cs="Arial"/>
          <w:sz w:val="22"/>
          <w:szCs w:val="22"/>
          <w:lang w:eastAsia="ko-KR"/>
        </w:rPr>
        <w:t xml:space="preserve"> (OMS) y por el costo diario de cama de hospitalización por nivel de hospital (</w:t>
      </w:r>
      <w:hyperlink r:id="rId33" w:history="1">
        <w:r w:rsidR="00AD64F2" w:rsidRPr="00752DB9">
          <w:rPr>
            <w:rStyle w:val="Hyperlink"/>
            <w:rFonts w:ascii="Arial" w:hAnsi="Arial" w:cs="Arial"/>
            <w:sz w:val="22"/>
            <w:szCs w:val="22"/>
            <w:lang w:eastAsia="ko-KR"/>
          </w:rPr>
          <w:t>OMS, 2010</w:t>
        </w:r>
      </w:hyperlink>
      <w:r w:rsidR="00AD64F2" w:rsidRPr="00752DB9">
        <w:rPr>
          <w:rFonts w:ascii="Arial" w:hAnsi="Arial" w:cs="Arial"/>
          <w:sz w:val="22"/>
          <w:szCs w:val="22"/>
          <w:lang w:eastAsia="ko-KR"/>
        </w:rPr>
        <w:t>)</w:t>
      </w:r>
      <w:r w:rsidR="00DE69FC" w:rsidRPr="00752DB9">
        <w:rPr>
          <w:rFonts w:ascii="Arial" w:hAnsi="Arial" w:cs="Arial"/>
          <w:sz w:val="22"/>
          <w:szCs w:val="22"/>
          <w:lang w:eastAsia="ko-KR"/>
        </w:rPr>
        <w:t xml:space="preserve">. </w:t>
      </w:r>
      <w:r w:rsidR="007A0A73" w:rsidRPr="00752DB9">
        <w:rPr>
          <w:rFonts w:ascii="Arial" w:hAnsi="Arial" w:cs="Arial"/>
          <w:sz w:val="22"/>
          <w:szCs w:val="22"/>
          <w:lang w:eastAsia="ko-KR"/>
        </w:rPr>
        <w:t>Esto es después ajustado por el porcentaje de reducción en la tasa de ocupación de camas hospitalarias (3%) estimado por Lammers et al. (2014).</w:t>
      </w:r>
    </w:p>
    <w:p w14:paraId="293DA670" w14:textId="7861F523" w:rsidR="00751165" w:rsidRPr="00210A53" w:rsidRDefault="00993C0D" w:rsidP="00993C0D">
      <w:pPr>
        <w:pStyle w:val="Heading2"/>
        <w:rPr>
          <w:rFonts w:cs="Arial"/>
        </w:rPr>
      </w:pPr>
      <w:bookmarkStart w:id="32" w:name="_Toc100512103"/>
      <w:r w:rsidRPr="00210A53">
        <w:rPr>
          <w:rFonts w:cs="Arial"/>
        </w:rPr>
        <w:lastRenderedPageBreak/>
        <w:t xml:space="preserve">B. </w:t>
      </w:r>
      <w:r w:rsidR="001D132F" w:rsidRPr="00210A53">
        <w:rPr>
          <w:rFonts w:cs="Arial"/>
        </w:rPr>
        <w:t>E</w:t>
      </w:r>
      <w:r w:rsidR="00230803" w:rsidRPr="00210A53">
        <w:rPr>
          <w:rFonts w:cs="Arial"/>
        </w:rPr>
        <w:t>valuaci</w:t>
      </w:r>
      <w:r w:rsidR="00230803" w:rsidRPr="00210A53">
        <w:rPr>
          <w:rFonts w:eastAsia="Calibri" w:cs="Arial"/>
        </w:rPr>
        <w:t>ón</w:t>
      </w:r>
      <w:bookmarkEnd w:id="30"/>
      <w:r w:rsidR="009E4400" w:rsidRPr="00210A53">
        <w:rPr>
          <w:rFonts w:cs="Arial"/>
        </w:rPr>
        <w:t xml:space="preserve"> econ</w:t>
      </w:r>
      <w:r w:rsidR="009E4400" w:rsidRPr="00210A53">
        <w:rPr>
          <w:rFonts w:eastAsia="Calibri" w:cs="Arial"/>
        </w:rPr>
        <w:t>ómica</w:t>
      </w:r>
      <w:bookmarkEnd w:id="31"/>
      <w:bookmarkEnd w:id="32"/>
    </w:p>
    <w:p w14:paraId="4C96A900" w14:textId="7C2C6818" w:rsidR="00137E91" w:rsidRPr="00210A53" w:rsidRDefault="0038204D" w:rsidP="006A1D19">
      <w:pPr>
        <w:pStyle w:val="Heading3"/>
        <w:numPr>
          <w:ilvl w:val="0"/>
          <w:numId w:val="0"/>
        </w:numPr>
        <w:jc w:val="both"/>
        <w:rPr>
          <w:rFonts w:ascii="Arial" w:hAnsi="Arial" w:cs="Arial"/>
          <w:color w:val="auto"/>
        </w:rPr>
      </w:pPr>
      <w:bookmarkStart w:id="33" w:name="_Toc100512104"/>
      <w:r>
        <w:rPr>
          <w:rFonts w:ascii="Arial" w:hAnsi="Arial" w:cs="Arial"/>
          <w:color w:val="auto"/>
        </w:rPr>
        <w:t>Componente 1</w:t>
      </w:r>
      <w:r w:rsidR="003114DA">
        <w:rPr>
          <w:rFonts w:ascii="Arial" w:hAnsi="Arial" w:cs="Arial"/>
          <w:color w:val="auto"/>
        </w:rPr>
        <w:t>-</w:t>
      </w:r>
      <w:r>
        <w:rPr>
          <w:rFonts w:ascii="Arial" w:hAnsi="Arial" w:cs="Arial"/>
          <w:color w:val="auto"/>
        </w:rPr>
        <w:t xml:space="preserve">2: </w:t>
      </w:r>
      <w:r w:rsidR="00541BF7">
        <w:rPr>
          <w:rFonts w:ascii="Arial" w:hAnsi="Arial" w:cs="Arial"/>
          <w:color w:val="auto"/>
        </w:rPr>
        <w:t>A</w:t>
      </w:r>
      <w:r w:rsidR="009C4326">
        <w:rPr>
          <w:rFonts w:ascii="Arial" w:hAnsi="Arial" w:cs="Arial"/>
          <w:color w:val="auto"/>
        </w:rPr>
        <w:t>poyo a la reestructuración, reorganización e integración de las redes de atención a la salud, y fortalecimiento de la gestión, mejora de la eficiencia y calidad del sistema sanitario</w:t>
      </w:r>
      <w:bookmarkEnd w:id="33"/>
      <w:r w:rsidR="00541BF7">
        <w:rPr>
          <w:rFonts w:ascii="Arial" w:hAnsi="Arial" w:cs="Arial"/>
          <w:color w:val="auto"/>
        </w:rPr>
        <w:t xml:space="preserve"> </w:t>
      </w:r>
    </w:p>
    <w:p w14:paraId="5A6C2CC5" w14:textId="4BDD87C0" w:rsidR="00EE1BEF" w:rsidRPr="00487193" w:rsidRDefault="1823A1AD" w:rsidP="027F12FB">
      <w:pPr>
        <w:autoSpaceDE w:val="0"/>
        <w:autoSpaceDN w:val="0"/>
        <w:adjustRightInd w:val="0"/>
        <w:spacing w:before="120" w:after="100" w:afterAutospacing="1"/>
        <w:jc w:val="both"/>
        <w:rPr>
          <w:rFonts w:ascii="Arial" w:hAnsi="Arial" w:cs="Arial"/>
          <w:sz w:val="22"/>
          <w:szCs w:val="22"/>
        </w:rPr>
      </w:pPr>
      <w:r w:rsidRPr="00210A53">
        <w:rPr>
          <w:rFonts w:ascii="Arial" w:hAnsi="Arial" w:cs="Arial"/>
          <w:sz w:val="22"/>
          <w:szCs w:val="22"/>
          <w:lang w:eastAsia="ko-KR"/>
        </w:rPr>
        <w:t xml:space="preserve">En el análisis económico del </w:t>
      </w:r>
      <w:r w:rsidR="78364BAE">
        <w:rPr>
          <w:rFonts w:ascii="Arial" w:hAnsi="Arial" w:cs="Arial"/>
          <w:sz w:val="22"/>
          <w:szCs w:val="22"/>
          <w:lang w:eastAsia="ko-KR"/>
        </w:rPr>
        <w:t xml:space="preserve">componente 1 y 2 del </w:t>
      </w:r>
      <w:r w:rsidRPr="00210A53">
        <w:rPr>
          <w:rFonts w:ascii="Arial" w:hAnsi="Arial" w:cs="Arial"/>
          <w:sz w:val="22"/>
          <w:szCs w:val="22"/>
          <w:lang w:eastAsia="ko-KR"/>
        </w:rPr>
        <w:t xml:space="preserve">programa se consideraron las siguientes líneas de atención que atenderán a la población </w:t>
      </w:r>
      <w:r w:rsidRPr="00E233E3">
        <w:rPr>
          <w:rFonts w:ascii="Arial" w:hAnsi="Arial" w:cs="Arial"/>
          <w:sz w:val="22"/>
          <w:szCs w:val="22"/>
          <w:lang w:eastAsia="ko-KR"/>
        </w:rPr>
        <w:t>objetivo</w:t>
      </w:r>
      <w:r w:rsidR="7F6CD5C3" w:rsidRPr="00E233E3">
        <w:rPr>
          <w:rFonts w:ascii="Arial" w:hAnsi="Arial" w:cs="Arial"/>
          <w:sz w:val="22"/>
          <w:szCs w:val="22"/>
          <w:lang w:eastAsia="ko-KR"/>
        </w:rPr>
        <w:t xml:space="preserve"> (Tabla 3)</w:t>
      </w:r>
      <w:r w:rsidR="00CD62A5">
        <w:rPr>
          <w:rStyle w:val="FootnoteReference"/>
          <w:rFonts w:ascii="Arial" w:hAnsi="Arial" w:cs="Arial"/>
          <w:sz w:val="22"/>
          <w:szCs w:val="22"/>
          <w:lang w:eastAsia="ko-KR"/>
        </w:rPr>
        <w:footnoteReference w:id="7"/>
      </w:r>
      <w:r w:rsidR="7F6CD5C3" w:rsidRPr="00E233E3">
        <w:rPr>
          <w:rFonts w:ascii="Arial" w:hAnsi="Arial" w:cs="Arial"/>
          <w:sz w:val="22"/>
          <w:szCs w:val="22"/>
          <w:lang w:eastAsia="ko-KR"/>
        </w:rPr>
        <w:t>.</w:t>
      </w:r>
      <w:r w:rsidRPr="00E233E3">
        <w:rPr>
          <w:rFonts w:ascii="Arial" w:hAnsi="Arial" w:cs="Arial"/>
          <w:sz w:val="22"/>
          <w:szCs w:val="22"/>
          <w:lang w:eastAsia="ko-KR"/>
        </w:rPr>
        <w:t xml:space="preserve"> El </w:t>
      </w:r>
      <w:r w:rsidR="5B1C65A0">
        <w:rPr>
          <w:rFonts w:ascii="Arial" w:hAnsi="Arial" w:cs="Arial"/>
          <w:sz w:val="22"/>
          <w:szCs w:val="22"/>
        </w:rPr>
        <w:t>Programa de Fortalecimiento de la Red de Atención a la Salud en ESE</w:t>
      </w:r>
      <w:r w:rsidR="23AB897F" w:rsidRPr="00E233E3">
        <w:rPr>
          <w:rFonts w:ascii="Arial" w:hAnsi="Arial" w:cs="Arial"/>
          <w:sz w:val="22"/>
          <w:szCs w:val="22"/>
        </w:rPr>
        <w:t xml:space="preserve"> </w:t>
      </w:r>
      <w:r w:rsidRPr="00E233E3">
        <w:rPr>
          <w:rFonts w:ascii="Arial" w:hAnsi="Arial" w:cs="Arial"/>
          <w:sz w:val="22"/>
          <w:szCs w:val="22"/>
        </w:rPr>
        <w:t xml:space="preserve">financia los servicios de salud del sistema público con cobertura universal de manera normativa. </w:t>
      </w:r>
      <w:r w:rsidR="3381C6F2" w:rsidRPr="00E233E3">
        <w:rPr>
          <w:rFonts w:ascii="Arial" w:hAnsi="Arial" w:cs="Arial"/>
          <w:sz w:val="22"/>
          <w:szCs w:val="22"/>
        </w:rPr>
        <w:t>Es decir que cualquier ciudadano podría</w:t>
      </w:r>
      <w:r w:rsidR="1951B929" w:rsidRPr="00E233E3">
        <w:rPr>
          <w:rFonts w:ascii="Arial" w:hAnsi="Arial" w:cs="Arial"/>
          <w:sz w:val="22"/>
          <w:szCs w:val="22"/>
        </w:rPr>
        <w:t xml:space="preserve"> recibir servicios públicos de salud. Sin embargo, </w:t>
      </w:r>
      <w:r w:rsidR="7F6CD5C3" w:rsidRPr="00E233E3">
        <w:rPr>
          <w:rFonts w:ascii="Arial" w:hAnsi="Arial" w:cs="Arial"/>
          <w:sz w:val="22"/>
          <w:szCs w:val="22"/>
        </w:rPr>
        <w:t>para incluir en la población objetivo</w:t>
      </w:r>
      <w:r w:rsidR="23AB897F" w:rsidRPr="00E233E3">
        <w:rPr>
          <w:rFonts w:ascii="Arial" w:hAnsi="Arial" w:cs="Arial"/>
          <w:sz w:val="22"/>
          <w:szCs w:val="22"/>
        </w:rPr>
        <w:t>,</w:t>
      </w:r>
      <w:r w:rsidR="7F6CD5C3" w:rsidRPr="00E233E3">
        <w:rPr>
          <w:rFonts w:ascii="Arial" w:hAnsi="Arial" w:cs="Arial"/>
          <w:sz w:val="22"/>
          <w:szCs w:val="22"/>
        </w:rPr>
        <w:t xml:space="preserve"> </w:t>
      </w:r>
      <w:r w:rsidR="62C7C0E2" w:rsidRPr="00E233E3">
        <w:rPr>
          <w:rFonts w:ascii="Arial" w:hAnsi="Arial" w:cs="Arial"/>
          <w:sz w:val="22"/>
          <w:szCs w:val="22"/>
        </w:rPr>
        <w:t>no simplemente quien tiene derecho a recibir los servicios</w:t>
      </w:r>
      <w:r w:rsidR="7F6CD5C3" w:rsidRPr="00E233E3">
        <w:rPr>
          <w:rFonts w:ascii="Arial" w:hAnsi="Arial" w:cs="Arial"/>
          <w:sz w:val="22"/>
          <w:szCs w:val="22"/>
        </w:rPr>
        <w:t xml:space="preserve"> de salud públicos</w:t>
      </w:r>
      <w:r w:rsidR="62C7C0E2" w:rsidRPr="00E233E3">
        <w:rPr>
          <w:rFonts w:ascii="Arial" w:hAnsi="Arial" w:cs="Arial"/>
          <w:sz w:val="22"/>
          <w:szCs w:val="22"/>
        </w:rPr>
        <w:t>, si no quien realmente accede a ellos</w:t>
      </w:r>
      <w:r w:rsidR="7F6CD5C3" w:rsidRPr="00E233E3">
        <w:rPr>
          <w:rFonts w:ascii="Arial" w:hAnsi="Arial" w:cs="Arial"/>
          <w:sz w:val="22"/>
          <w:szCs w:val="22"/>
        </w:rPr>
        <w:t xml:space="preserve">, los ciudadanos </w:t>
      </w:r>
      <w:r w:rsidR="1951B929" w:rsidRPr="00E233E3">
        <w:rPr>
          <w:rFonts w:ascii="Arial" w:hAnsi="Arial" w:cs="Arial"/>
          <w:sz w:val="22"/>
          <w:szCs w:val="22"/>
        </w:rPr>
        <w:t xml:space="preserve">del </w:t>
      </w:r>
      <w:r w:rsidR="34D34FC0">
        <w:rPr>
          <w:rFonts w:ascii="Arial" w:hAnsi="Arial" w:cs="Arial"/>
          <w:sz w:val="22"/>
          <w:szCs w:val="22"/>
        </w:rPr>
        <w:t>ESE</w:t>
      </w:r>
      <w:r w:rsidR="1951B929" w:rsidRPr="00E233E3">
        <w:rPr>
          <w:rFonts w:ascii="Arial" w:hAnsi="Arial" w:cs="Arial"/>
          <w:sz w:val="22"/>
          <w:szCs w:val="22"/>
        </w:rPr>
        <w:t xml:space="preserve"> que tiene seguro </w:t>
      </w:r>
      <w:r w:rsidR="1951B929" w:rsidRPr="00743F19">
        <w:rPr>
          <w:rFonts w:ascii="Arial" w:hAnsi="Arial" w:cs="Arial"/>
          <w:sz w:val="22"/>
          <w:szCs w:val="22"/>
        </w:rPr>
        <w:t xml:space="preserve">privado </w:t>
      </w:r>
      <w:r w:rsidR="7F6CD5C3" w:rsidRPr="00743F19">
        <w:rPr>
          <w:rFonts w:ascii="Arial" w:hAnsi="Arial" w:cs="Arial"/>
          <w:sz w:val="22"/>
          <w:szCs w:val="22"/>
        </w:rPr>
        <w:t>(</w:t>
      </w:r>
      <w:r w:rsidR="34D34FC0" w:rsidRPr="00743F19">
        <w:rPr>
          <w:rFonts w:ascii="Arial" w:hAnsi="Arial" w:cs="Arial"/>
          <w:sz w:val="22"/>
          <w:szCs w:val="22"/>
        </w:rPr>
        <w:t>14</w:t>
      </w:r>
      <w:r w:rsidR="7F6CD5C3" w:rsidRPr="00743F19">
        <w:rPr>
          <w:rFonts w:ascii="Arial" w:hAnsi="Arial" w:cs="Arial"/>
          <w:sz w:val="22"/>
          <w:szCs w:val="22"/>
        </w:rPr>
        <w:t>%)</w:t>
      </w:r>
      <w:r w:rsidR="00E51FDC" w:rsidRPr="00743F19">
        <w:rPr>
          <w:rStyle w:val="FootnoteReference"/>
          <w:rFonts w:ascii="Arial" w:hAnsi="Arial" w:cs="Arial"/>
          <w:sz w:val="22"/>
          <w:szCs w:val="22"/>
        </w:rPr>
        <w:footnoteReference w:id="8"/>
      </w:r>
      <w:r w:rsidR="7F6CD5C3" w:rsidRPr="00743F19">
        <w:rPr>
          <w:rFonts w:ascii="Arial" w:hAnsi="Arial" w:cs="Arial"/>
          <w:sz w:val="22"/>
          <w:szCs w:val="22"/>
        </w:rPr>
        <w:t xml:space="preserve"> no se</w:t>
      </w:r>
      <w:r w:rsidR="7F6CD5C3" w:rsidRPr="00E233E3">
        <w:rPr>
          <w:rFonts w:ascii="Arial" w:hAnsi="Arial" w:cs="Arial"/>
          <w:sz w:val="22"/>
          <w:szCs w:val="22"/>
        </w:rPr>
        <w:t xml:space="preserve"> han incluido en el análisis económico. </w:t>
      </w:r>
    </w:p>
    <w:p w14:paraId="190606CE" w14:textId="6A71BCDD" w:rsidR="00144E12" w:rsidRPr="00210A53" w:rsidRDefault="00144E12" w:rsidP="00CC7653">
      <w:pPr>
        <w:pStyle w:val="Caption"/>
        <w:rPr>
          <w:lang w:eastAsia="ko-KR"/>
        </w:rPr>
      </w:pPr>
      <w:r w:rsidRPr="00B6187B">
        <w:rPr>
          <w:lang w:eastAsia="ko-KR"/>
        </w:rPr>
        <w:t xml:space="preserve">Tabla </w:t>
      </w:r>
      <w:r w:rsidRPr="00B6187B">
        <w:fldChar w:fldCharType="begin"/>
      </w:r>
      <w:r w:rsidRPr="00B6187B">
        <w:rPr>
          <w:lang w:eastAsia="ko-KR"/>
        </w:rPr>
        <w:instrText xml:space="preserve"> SEQ Tabla \* ARABIC </w:instrText>
      </w:r>
      <w:r w:rsidRPr="00B6187B">
        <w:fldChar w:fldCharType="separate"/>
      </w:r>
      <w:r w:rsidR="00987350" w:rsidRPr="00B6187B">
        <w:rPr>
          <w:noProof/>
          <w:lang w:eastAsia="ko-KR"/>
        </w:rPr>
        <w:t>3</w:t>
      </w:r>
      <w:r w:rsidRPr="00B6187B">
        <w:fldChar w:fldCharType="end"/>
      </w:r>
      <w:r w:rsidRPr="00B6187B">
        <w:rPr>
          <w:lang w:eastAsia="ko-KR"/>
        </w:rPr>
        <w:t xml:space="preserve">. </w:t>
      </w:r>
      <w:r w:rsidR="00375D15" w:rsidRPr="00B6187B">
        <w:rPr>
          <w:lang w:eastAsia="ko-KR"/>
        </w:rPr>
        <w:t>Intervenciones consideradas en el análisis</w:t>
      </w:r>
      <w:r w:rsidR="00BB09AA" w:rsidRPr="00210A53">
        <w:rPr>
          <w:lang w:eastAsia="ko-KR"/>
        </w:rPr>
        <w:t xml:space="preserve"> </w:t>
      </w:r>
    </w:p>
    <w:p w14:paraId="01F97465" w14:textId="6C36F6E5" w:rsidR="007347E2" w:rsidRPr="00210A53" w:rsidRDefault="00AA0897" w:rsidP="00AA0897">
      <w:pPr>
        <w:jc w:val="center"/>
        <w:rPr>
          <w:rFonts w:ascii="Arial" w:hAnsi="Arial" w:cs="Arial"/>
          <w:sz w:val="18"/>
          <w:szCs w:val="16"/>
        </w:rPr>
      </w:pPr>
      <w:r w:rsidRPr="00210A53">
        <w:rPr>
          <w:rFonts w:ascii="Arial" w:hAnsi="Arial" w:cs="Arial"/>
          <w:sz w:val="18"/>
          <w:szCs w:val="16"/>
        </w:rPr>
        <w:br/>
      </w:r>
      <w:r w:rsidR="00CE4C4A" w:rsidRPr="00CE4C4A">
        <w:rPr>
          <w:rFonts w:ascii="Arial" w:hAnsi="Arial" w:cs="Arial"/>
          <w:noProof/>
          <w:sz w:val="18"/>
          <w:szCs w:val="16"/>
        </w:rPr>
        <w:drawing>
          <wp:inline distT="0" distB="0" distL="0" distR="0" wp14:anchorId="13AAA881" wp14:editId="1F748165">
            <wp:extent cx="5443938" cy="3246120"/>
            <wp:effectExtent l="0" t="0" r="4445"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rotWithShape="1">
                    <a:blip r:embed="rId34"/>
                    <a:srcRect r="19551"/>
                    <a:stretch/>
                  </pic:blipFill>
                  <pic:spPr bwMode="auto">
                    <a:xfrm>
                      <a:off x="0" y="0"/>
                      <a:ext cx="5443938" cy="3246120"/>
                    </a:xfrm>
                    <a:prstGeom prst="rect">
                      <a:avLst/>
                    </a:prstGeom>
                    <a:ln>
                      <a:noFill/>
                    </a:ln>
                    <a:extLst>
                      <a:ext uri="{53640926-AAD7-44D8-BBD7-CCE9431645EC}">
                        <a14:shadowObscured xmlns:a14="http://schemas.microsoft.com/office/drawing/2010/main"/>
                      </a:ext>
                    </a:extLst>
                  </pic:spPr>
                </pic:pic>
              </a:graphicData>
            </a:graphic>
          </wp:inline>
        </w:drawing>
      </w:r>
    </w:p>
    <w:p w14:paraId="6DF3DEF5" w14:textId="77777777" w:rsidR="00AA0897" w:rsidRPr="00210A53" w:rsidRDefault="00AA0897" w:rsidP="005D4C0B">
      <w:pPr>
        <w:jc w:val="center"/>
        <w:rPr>
          <w:rFonts w:ascii="Arial" w:hAnsi="Arial" w:cs="Arial"/>
          <w:sz w:val="18"/>
          <w:szCs w:val="16"/>
        </w:rPr>
      </w:pPr>
    </w:p>
    <w:p w14:paraId="2B2E6215" w14:textId="24370627" w:rsidR="005C7F32" w:rsidRPr="00210A53" w:rsidRDefault="00144E12" w:rsidP="005D4C0B">
      <w:pPr>
        <w:jc w:val="center"/>
        <w:rPr>
          <w:rFonts w:ascii="Arial" w:hAnsi="Arial" w:cs="Arial"/>
          <w:lang w:eastAsia="ko-KR"/>
        </w:rPr>
      </w:pPr>
      <w:r w:rsidRPr="00210A53">
        <w:rPr>
          <w:rFonts w:ascii="Arial" w:hAnsi="Arial" w:cs="Arial"/>
          <w:sz w:val="18"/>
          <w:szCs w:val="16"/>
        </w:rPr>
        <w:t xml:space="preserve">Fuente: elaboración propia; en el caso de WHO-CHOICE se toman como referencia los </w:t>
      </w:r>
      <w:r w:rsidR="005F73B1" w:rsidRPr="00210A53">
        <w:rPr>
          <w:rFonts w:ascii="Arial" w:hAnsi="Arial" w:cs="Arial"/>
          <w:sz w:val="18"/>
          <w:szCs w:val="16"/>
        </w:rPr>
        <w:t>valores para la región</w:t>
      </w:r>
      <w:r w:rsidR="005D4C0B" w:rsidRPr="00210A53">
        <w:rPr>
          <w:rFonts w:ascii="Arial" w:hAnsi="Arial" w:cs="Arial"/>
          <w:sz w:val="18"/>
          <w:szCs w:val="16"/>
        </w:rPr>
        <w:t xml:space="preserve"> </w:t>
      </w:r>
      <w:r w:rsidR="005F73B1" w:rsidRPr="00210A53">
        <w:rPr>
          <w:rFonts w:ascii="Arial" w:hAnsi="Arial" w:cs="Arial"/>
          <w:sz w:val="18"/>
          <w:szCs w:val="16"/>
        </w:rPr>
        <w:t>América B</w:t>
      </w:r>
      <w:r w:rsidRPr="00210A53">
        <w:rPr>
          <w:rFonts w:ascii="Arial" w:hAnsi="Arial" w:cs="Arial"/>
          <w:sz w:val="18"/>
          <w:szCs w:val="16"/>
        </w:rPr>
        <w:t xml:space="preserve">, que incluye </w:t>
      </w:r>
      <w:r w:rsidR="005F73B1" w:rsidRPr="00210A53">
        <w:rPr>
          <w:rFonts w:ascii="Arial" w:hAnsi="Arial" w:cs="Arial"/>
          <w:sz w:val="18"/>
          <w:szCs w:val="16"/>
        </w:rPr>
        <w:t>a Brasil.</w:t>
      </w:r>
    </w:p>
    <w:p w14:paraId="0CB77ADE" w14:textId="7DF71D1D" w:rsidR="00542810" w:rsidRPr="00210A53" w:rsidRDefault="00542810" w:rsidP="005E4A14">
      <w:pPr>
        <w:autoSpaceDE w:val="0"/>
        <w:autoSpaceDN w:val="0"/>
        <w:adjustRightInd w:val="0"/>
        <w:spacing w:before="120" w:after="120"/>
        <w:jc w:val="both"/>
        <w:rPr>
          <w:rFonts w:ascii="Arial" w:hAnsi="Arial" w:cs="Arial"/>
          <w:sz w:val="22"/>
          <w:szCs w:val="22"/>
        </w:rPr>
      </w:pPr>
      <w:r w:rsidRPr="00210A53">
        <w:rPr>
          <w:rFonts w:ascii="Arial" w:hAnsi="Arial" w:cs="Arial"/>
          <w:sz w:val="22"/>
          <w:szCs w:val="22"/>
        </w:rPr>
        <w:t xml:space="preserve">La intervención aportará una mayor cobertura efectiva en las diferentes líneas de atención. </w:t>
      </w:r>
      <w:r w:rsidR="00C1503A" w:rsidRPr="00210A53">
        <w:rPr>
          <w:rFonts w:ascii="Arial" w:hAnsi="Arial" w:cs="Arial"/>
          <w:sz w:val="22"/>
          <w:szCs w:val="22"/>
        </w:rPr>
        <w:t>Se</w:t>
      </w:r>
      <w:r w:rsidR="005E4A14" w:rsidRPr="00210A53">
        <w:rPr>
          <w:rFonts w:ascii="Arial" w:hAnsi="Arial" w:cs="Arial"/>
          <w:sz w:val="22"/>
          <w:szCs w:val="22"/>
        </w:rPr>
        <w:t> </w:t>
      </w:r>
      <w:r w:rsidR="00C1503A" w:rsidRPr="00210A53">
        <w:rPr>
          <w:rFonts w:ascii="Arial" w:hAnsi="Arial" w:cs="Arial"/>
          <w:sz w:val="22"/>
          <w:szCs w:val="22"/>
        </w:rPr>
        <w:t xml:space="preserve">definen tres escenarios de contribución marginal a la cobertura efectiva (Tabla 4). </w:t>
      </w:r>
      <w:r w:rsidRPr="00210A53">
        <w:rPr>
          <w:rFonts w:ascii="Arial" w:hAnsi="Arial" w:cs="Arial"/>
          <w:sz w:val="22"/>
          <w:szCs w:val="22"/>
        </w:rPr>
        <w:t xml:space="preserve">No existe </w:t>
      </w:r>
      <w:r w:rsidRPr="00210A53">
        <w:rPr>
          <w:rFonts w:ascii="Arial" w:hAnsi="Arial" w:cs="Arial"/>
          <w:sz w:val="22"/>
          <w:szCs w:val="22"/>
        </w:rPr>
        <w:lastRenderedPageBreak/>
        <w:t xml:space="preserve">un modelo para estimar con precisión la contribución marginal que cada intervención tendrá a la cobertura efectiva. Sin embargo, es posible identificar los márgenes de mejora en cada intervención y el análisis de sensibilidad permite analizar varios escenarios plausibles. </w:t>
      </w:r>
    </w:p>
    <w:p w14:paraId="27DD39C7" w14:textId="5034D888" w:rsidR="00D968C1" w:rsidRDefault="00443E7E" w:rsidP="008C3BA4">
      <w:pPr>
        <w:spacing w:before="120" w:after="120"/>
        <w:jc w:val="both"/>
        <w:rPr>
          <w:rFonts w:ascii="Arial" w:eastAsiaTheme="minorHAnsi" w:hAnsi="Arial" w:cs="Arial"/>
          <w:sz w:val="22"/>
          <w:szCs w:val="22"/>
        </w:rPr>
      </w:pPr>
      <w:r w:rsidRPr="00210A53">
        <w:rPr>
          <w:rFonts w:ascii="Arial" w:hAnsi="Arial" w:cs="Arial"/>
          <w:sz w:val="22"/>
          <w:szCs w:val="22"/>
        </w:rPr>
        <w:t xml:space="preserve">Los beneficios </w:t>
      </w:r>
      <w:r w:rsidR="00542810" w:rsidRPr="00210A53">
        <w:rPr>
          <w:rFonts w:ascii="Arial" w:hAnsi="Arial" w:cs="Arial"/>
          <w:sz w:val="22"/>
          <w:szCs w:val="22"/>
        </w:rPr>
        <w:t xml:space="preserve">en la cobertura </w:t>
      </w:r>
      <w:r w:rsidR="000608A7" w:rsidRPr="00210A53">
        <w:rPr>
          <w:rFonts w:ascii="Arial" w:hAnsi="Arial" w:cs="Arial"/>
          <w:sz w:val="22"/>
          <w:szCs w:val="22"/>
        </w:rPr>
        <w:t xml:space="preserve">marginal efectiva se justifican por </w:t>
      </w:r>
      <w:r w:rsidR="00004149" w:rsidRPr="00210A53">
        <w:rPr>
          <w:rFonts w:ascii="Arial" w:hAnsi="Arial" w:cs="Arial"/>
          <w:sz w:val="22"/>
          <w:szCs w:val="22"/>
        </w:rPr>
        <w:t xml:space="preserve">el fortalecimiento de </w:t>
      </w:r>
      <w:r w:rsidR="00AF0059">
        <w:rPr>
          <w:rFonts w:ascii="Arial" w:hAnsi="Arial" w:cs="Arial"/>
          <w:sz w:val="22"/>
          <w:szCs w:val="22"/>
        </w:rPr>
        <w:t>la Red de Atención a la Salud, por medio de</w:t>
      </w:r>
      <w:r w:rsidR="000608A7" w:rsidRPr="00210A53">
        <w:rPr>
          <w:rFonts w:ascii="Arial" w:hAnsi="Arial" w:cs="Arial"/>
          <w:sz w:val="22"/>
          <w:szCs w:val="22"/>
        </w:rPr>
        <w:t xml:space="preserve">: </w:t>
      </w:r>
      <w:r w:rsidR="00AF0059">
        <w:rPr>
          <w:rFonts w:ascii="Arial" w:hAnsi="Arial" w:cs="Arial"/>
          <w:sz w:val="22"/>
          <w:szCs w:val="22"/>
        </w:rPr>
        <w:t>(i) apoyo a la reestructuración, reorganización e integración de las redes de atención a la salud; (</w:t>
      </w:r>
      <w:proofErr w:type="spellStart"/>
      <w:r w:rsidR="00AF0059">
        <w:rPr>
          <w:rFonts w:ascii="Arial" w:hAnsi="Arial" w:cs="Arial"/>
          <w:sz w:val="22"/>
          <w:szCs w:val="22"/>
        </w:rPr>
        <w:t>ii</w:t>
      </w:r>
      <w:proofErr w:type="spellEnd"/>
      <w:r w:rsidR="00AF0059">
        <w:rPr>
          <w:rFonts w:ascii="Arial" w:hAnsi="Arial" w:cs="Arial"/>
          <w:sz w:val="22"/>
          <w:szCs w:val="22"/>
        </w:rPr>
        <w:t>) fortalecimiento de la gestión, mejora de la eficiencia y calidad del sistema sanitaria; y (</w:t>
      </w:r>
      <w:proofErr w:type="spellStart"/>
      <w:r w:rsidR="00AF0059">
        <w:rPr>
          <w:rFonts w:ascii="Arial" w:hAnsi="Arial" w:cs="Arial"/>
          <w:sz w:val="22"/>
          <w:szCs w:val="22"/>
        </w:rPr>
        <w:t>iii</w:t>
      </w:r>
      <w:proofErr w:type="spellEnd"/>
      <w:r w:rsidR="00AF0059">
        <w:rPr>
          <w:rFonts w:ascii="Arial" w:hAnsi="Arial" w:cs="Arial"/>
          <w:sz w:val="22"/>
          <w:szCs w:val="22"/>
        </w:rPr>
        <w:t>) fortalecimiento de la gestión de la información y del uso de nuevas tecnologías en salud</w:t>
      </w:r>
      <w:r w:rsidR="000608A7" w:rsidRPr="00210A53">
        <w:rPr>
          <w:rFonts w:ascii="Arial" w:eastAsiaTheme="minorHAnsi" w:hAnsi="Arial" w:cs="Arial"/>
          <w:sz w:val="22"/>
          <w:szCs w:val="22"/>
        </w:rPr>
        <w:t>.</w:t>
      </w:r>
      <w:bookmarkStart w:id="34" w:name="_Ref296084206"/>
    </w:p>
    <w:p w14:paraId="1A24EF04" w14:textId="77777777" w:rsidR="00DC0574" w:rsidRPr="00210A53" w:rsidRDefault="00DC0574" w:rsidP="00DC0574">
      <w:pPr>
        <w:jc w:val="both"/>
        <w:rPr>
          <w:rFonts w:ascii="Arial" w:hAnsi="Arial" w:cs="Arial"/>
          <w:sz w:val="22"/>
          <w:szCs w:val="22"/>
        </w:rPr>
      </w:pPr>
    </w:p>
    <w:p w14:paraId="60C00AA5" w14:textId="77777777" w:rsidR="007621CC" w:rsidRDefault="007621CC">
      <w:pPr>
        <w:rPr>
          <w:rFonts w:ascii="Arial" w:eastAsia="Cambria" w:hAnsi="Arial" w:cs="Arial"/>
          <w:b/>
          <w:bCs/>
          <w:sz w:val="18"/>
          <w:szCs w:val="20"/>
          <w:lang w:val="es-ES_tradnl"/>
        </w:rPr>
      </w:pPr>
      <w:r>
        <w:br w:type="page"/>
      </w:r>
    </w:p>
    <w:p w14:paraId="3319260C" w14:textId="3BB9C4CF" w:rsidR="005E4A14" w:rsidRPr="00EE10BC" w:rsidRDefault="00B956BE" w:rsidP="00CC7653">
      <w:pPr>
        <w:pStyle w:val="Caption"/>
      </w:pPr>
      <w:r w:rsidRPr="00EE10BC">
        <w:lastRenderedPageBreak/>
        <w:t xml:space="preserve">Tabla </w:t>
      </w:r>
      <w:r w:rsidR="00AA3C84" w:rsidRPr="00EE10BC">
        <w:fldChar w:fldCharType="begin"/>
      </w:r>
      <w:r w:rsidR="00AA3C84" w:rsidRPr="00EE10BC">
        <w:instrText xml:space="preserve"> SEQ Tabla \* ARABIC </w:instrText>
      </w:r>
      <w:r w:rsidR="00AA3C84" w:rsidRPr="00EE10BC">
        <w:fldChar w:fldCharType="separate"/>
      </w:r>
      <w:r w:rsidR="00987350">
        <w:rPr>
          <w:noProof/>
        </w:rPr>
        <w:t>4</w:t>
      </w:r>
      <w:r w:rsidR="00AA3C84" w:rsidRPr="00EE10BC">
        <w:fldChar w:fldCharType="end"/>
      </w:r>
      <w:bookmarkEnd w:id="34"/>
      <w:r w:rsidR="007772F7" w:rsidRPr="00EE10BC">
        <w:t xml:space="preserve">. </w:t>
      </w:r>
      <w:r w:rsidR="007772F7" w:rsidRPr="0089592F">
        <w:t>Escenarios de contribuci</w:t>
      </w:r>
      <w:r w:rsidR="007772F7" w:rsidRPr="0089592F">
        <w:rPr>
          <w:rFonts w:eastAsia="Calibri"/>
        </w:rPr>
        <w:t>ón</w:t>
      </w:r>
      <w:r w:rsidR="007772F7" w:rsidRPr="0089592F">
        <w:t xml:space="preserve"> </w:t>
      </w:r>
      <w:r w:rsidR="007772F7" w:rsidRPr="0089592F">
        <w:rPr>
          <w:rFonts w:eastAsia="Calibri"/>
        </w:rPr>
        <w:t>marginal</w:t>
      </w:r>
      <w:r w:rsidR="007772F7" w:rsidRPr="0089592F">
        <w:t xml:space="preserve"> </w:t>
      </w:r>
      <w:r w:rsidR="007772F7" w:rsidRPr="0089592F">
        <w:rPr>
          <w:rFonts w:eastAsia="Calibri"/>
        </w:rPr>
        <w:t>a</w:t>
      </w:r>
      <w:r w:rsidR="007772F7" w:rsidRPr="0089592F">
        <w:t xml:space="preserve"> </w:t>
      </w:r>
      <w:r w:rsidR="007772F7" w:rsidRPr="0089592F">
        <w:rPr>
          <w:rFonts w:eastAsia="Calibri"/>
        </w:rPr>
        <w:t>la</w:t>
      </w:r>
      <w:r w:rsidR="007772F7" w:rsidRPr="0089592F">
        <w:t xml:space="preserve"> </w:t>
      </w:r>
      <w:r w:rsidR="007772F7" w:rsidRPr="0089592F">
        <w:rPr>
          <w:rFonts w:eastAsia="Calibri"/>
        </w:rPr>
        <w:t>cobertura</w:t>
      </w:r>
      <w:r w:rsidR="007772F7" w:rsidRPr="0089592F">
        <w:t xml:space="preserve"> </w:t>
      </w:r>
      <w:r w:rsidR="007772F7" w:rsidRPr="0089592F">
        <w:rPr>
          <w:rFonts w:eastAsia="Calibri"/>
        </w:rPr>
        <w:t>efectiva</w:t>
      </w:r>
      <w:r w:rsidR="007772F7" w:rsidRPr="0089592F">
        <w:t xml:space="preserve"> </w:t>
      </w:r>
      <w:r w:rsidR="007772F7" w:rsidRPr="0089592F">
        <w:rPr>
          <w:rFonts w:eastAsia="Calibri"/>
        </w:rPr>
        <w:t>de</w:t>
      </w:r>
      <w:r w:rsidR="002D4A7E" w:rsidRPr="0089592F">
        <w:t>l servicio púb</w:t>
      </w:r>
      <w:r w:rsidR="001B1825" w:rsidRPr="0089592F">
        <w:t xml:space="preserve">lico </w:t>
      </w:r>
      <w:r w:rsidR="001F36BF" w:rsidRPr="0089592F">
        <w:t xml:space="preserve">del </w:t>
      </w:r>
      <w:r w:rsidR="00956C83" w:rsidRPr="0089592F">
        <w:t>ESE</w:t>
      </w:r>
      <w:r w:rsidR="001B1825" w:rsidRPr="00EE10BC">
        <w:t xml:space="preserve"> </w:t>
      </w:r>
    </w:p>
    <w:p w14:paraId="5AB7B40A" w14:textId="77777777" w:rsidR="00DC0574" w:rsidRPr="00EE10BC" w:rsidRDefault="00DC0574" w:rsidP="00DC0574">
      <w:pPr>
        <w:rPr>
          <w:lang w:val="es-ES_tradnl"/>
        </w:rPr>
      </w:pPr>
    </w:p>
    <w:tbl>
      <w:tblPr>
        <w:tblStyle w:val="PlainTable2"/>
        <w:tblpPr w:leftFromText="180" w:rightFromText="180" w:vertAnchor="text" w:horzAnchor="margin" w:tblpXSpec="center" w:tblpY="61"/>
        <w:tblW w:w="0" w:type="auto"/>
        <w:tblLayout w:type="fixed"/>
        <w:tblLook w:val="04A0" w:firstRow="1" w:lastRow="0" w:firstColumn="1" w:lastColumn="0" w:noHBand="0" w:noVBand="1"/>
      </w:tblPr>
      <w:tblGrid>
        <w:gridCol w:w="2016"/>
        <w:gridCol w:w="2592"/>
      </w:tblGrid>
      <w:tr w:rsidR="005E4A14" w:rsidRPr="00EE10BC" w14:paraId="019326AC" w14:textId="77777777" w:rsidTr="00065529">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016" w:type="dxa"/>
            <w:noWrap/>
            <w:vAlign w:val="center"/>
            <w:hideMark/>
          </w:tcPr>
          <w:p w14:paraId="69093D7F" w14:textId="0DB1B8A7" w:rsidR="005E4A14" w:rsidRPr="00EE10BC" w:rsidRDefault="005E4A14" w:rsidP="00C16F9E">
            <w:pPr>
              <w:keepNext/>
              <w:spacing w:after="100" w:afterAutospacing="1"/>
              <w:jc w:val="center"/>
              <w:rPr>
                <w:rFonts w:ascii="Arial" w:hAnsi="Arial" w:cs="Arial"/>
                <w:color w:val="000000"/>
                <w:sz w:val="16"/>
                <w:szCs w:val="16"/>
              </w:rPr>
            </w:pPr>
          </w:p>
        </w:tc>
        <w:tc>
          <w:tcPr>
            <w:tcW w:w="2592" w:type="dxa"/>
            <w:vAlign w:val="center"/>
            <w:hideMark/>
          </w:tcPr>
          <w:p w14:paraId="22891FBC" w14:textId="77777777" w:rsidR="005E4A14" w:rsidRPr="00EE10BC" w:rsidRDefault="005E4A14" w:rsidP="00C16F9E">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EE10BC">
              <w:rPr>
                <w:rFonts w:ascii="Arial" w:hAnsi="Arial" w:cs="Arial"/>
                <w:color w:val="000000"/>
                <w:sz w:val="16"/>
                <w:szCs w:val="16"/>
              </w:rPr>
              <w:t>Contribución marginal a la cobertura efectiva</w:t>
            </w:r>
          </w:p>
        </w:tc>
      </w:tr>
      <w:tr w:rsidR="005E4A14" w:rsidRPr="00EE10BC" w14:paraId="6DE9EF81" w14:textId="77777777" w:rsidTr="0006552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16" w:type="dxa"/>
            <w:noWrap/>
            <w:vAlign w:val="center"/>
            <w:hideMark/>
          </w:tcPr>
          <w:p w14:paraId="053F50E1" w14:textId="77777777" w:rsidR="005E4A14" w:rsidRPr="00EE10BC" w:rsidRDefault="005E4A14" w:rsidP="00C16F9E">
            <w:pPr>
              <w:keepNext/>
              <w:spacing w:after="100" w:afterAutospacing="1"/>
              <w:rPr>
                <w:rFonts w:ascii="Arial" w:hAnsi="Arial" w:cs="Arial"/>
                <w:color w:val="000000"/>
                <w:sz w:val="16"/>
                <w:szCs w:val="16"/>
              </w:rPr>
            </w:pPr>
            <w:r w:rsidRPr="00EE10BC">
              <w:rPr>
                <w:rFonts w:ascii="Arial" w:hAnsi="Arial" w:cs="Arial"/>
                <w:color w:val="000000"/>
                <w:sz w:val="16"/>
                <w:szCs w:val="16"/>
              </w:rPr>
              <w:t>Escenario 1: Pesimista</w:t>
            </w:r>
          </w:p>
        </w:tc>
        <w:tc>
          <w:tcPr>
            <w:tcW w:w="2592" w:type="dxa"/>
            <w:noWrap/>
            <w:vAlign w:val="center"/>
            <w:hideMark/>
          </w:tcPr>
          <w:p w14:paraId="690E8AA6" w14:textId="2FD9ECDF" w:rsidR="005E4A14" w:rsidRPr="00EE10BC" w:rsidRDefault="007B0A42" w:rsidP="00C16F9E">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Pr>
                <w:rFonts w:ascii="Arial" w:hAnsi="Arial" w:cs="Arial"/>
                <w:color w:val="000000"/>
                <w:sz w:val="16"/>
                <w:szCs w:val="16"/>
              </w:rPr>
              <w:t>8</w:t>
            </w:r>
            <w:r w:rsidR="005E4A14" w:rsidRPr="00EE10BC">
              <w:rPr>
                <w:rFonts w:ascii="Arial" w:hAnsi="Arial" w:cs="Arial"/>
                <w:color w:val="000000"/>
                <w:sz w:val="16"/>
                <w:szCs w:val="16"/>
              </w:rPr>
              <w:t>%</w:t>
            </w:r>
          </w:p>
        </w:tc>
      </w:tr>
      <w:tr w:rsidR="005E4A14" w:rsidRPr="00EE10BC" w14:paraId="2D0D88B0" w14:textId="77777777" w:rsidTr="00065529">
        <w:trPr>
          <w:trHeight w:val="320"/>
        </w:trPr>
        <w:tc>
          <w:tcPr>
            <w:cnfStyle w:val="001000000000" w:firstRow="0" w:lastRow="0" w:firstColumn="1" w:lastColumn="0" w:oddVBand="0" w:evenVBand="0" w:oddHBand="0" w:evenHBand="0" w:firstRowFirstColumn="0" w:firstRowLastColumn="0" w:lastRowFirstColumn="0" w:lastRowLastColumn="0"/>
            <w:tcW w:w="2016" w:type="dxa"/>
            <w:noWrap/>
            <w:vAlign w:val="center"/>
            <w:hideMark/>
          </w:tcPr>
          <w:p w14:paraId="429629B7" w14:textId="77777777" w:rsidR="005E4A14" w:rsidRPr="00EE10BC" w:rsidRDefault="005E4A14" w:rsidP="00C16F9E">
            <w:pPr>
              <w:keepNext/>
              <w:spacing w:after="100" w:afterAutospacing="1"/>
              <w:rPr>
                <w:rFonts w:ascii="Arial" w:hAnsi="Arial" w:cs="Arial"/>
                <w:color w:val="000000"/>
                <w:sz w:val="16"/>
                <w:szCs w:val="16"/>
              </w:rPr>
            </w:pPr>
            <w:r w:rsidRPr="00EE10BC">
              <w:rPr>
                <w:rFonts w:ascii="Arial" w:hAnsi="Arial" w:cs="Arial"/>
                <w:color w:val="000000"/>
                <w:sz w:val="16"/>
                <w:szCs w:val="16"/>
              </w:rPr>
              <w:t>Escenario 2: Medio</w:t>
            </w:r>
          </w:p>
        </w:tc>
        <w:tc>
          <w:tcPr>
            <w:tcW w:w="2592" w:type="dxa"/>
            <w:noWrap/>
            <w:vAlign w:val="center"/>
            <w:hideMark/>
          </w:tcPr>
          <w:p w14:paraId="15CB2315" w14:textId="19C5DF29" w:rsidR="005E4A14" w:rsidRPr="00EE10BC" w:rsidRDefault="007B0A42" w:rsidP="00C16F9E">
            <w:pPr>
              <w:keepNext/>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10</w:t>
            </w:r>
            <w:r w:rsidR="005E4A14" w:rsidRPr="00EE10BC">
              <w:rPr>
                <w:rFonts w:ascii="Arial" w:hAnsi="Arial" w:cs="Arial"/>
                <w:sz w:val="16"/>
                <w:szCs w:val="16"/>
              </w:rPr>
              <w:t>%</w:t>
            </w:r>
          </w:p>
        </w:tc>
      </w:tr>
      <w:tr w:rsidR="005E4A14" w:rsidRPr="00210A53" w14:paraId="13C42035" w14:textId="77777777" w:rsidTr="0006552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16" w:type="dxa"/>
            <w:noWrap/>
            <w:vAlign w:val="center"/>
            <w:hideMark/>
          </w:tcPr>
          <w:p w14:paraId="7B419A48" w14:textId="77777777" w:rsidR="005E4A14" w:rsidRPr="00EE10BC" w:rsidRDefault="005E4A14" w:rsidP="00C16F9E">
            <w:pPr>
              <w:keepNext/>
              <w:spacing w:after="100" w:afterAutospacing="1"/>
              <w:rPr>
                <w:rFonts w:ascii="Arial" w:hAnsi="Arial" w:cs="Arial"/>
                <w:color w:val="000000"/>
                <w:sz w:val="16"/>
                <w:szCs w:val="16"/>
              </w:rPr>
            </w:pPr>
            <w:r w:rsidRPr="00EE10BC">
              <w:rPr>
                <w:rFonts w:ascii="Arial" w:hAnsi="Arial" w:cs="Arial"/>
                <w:color w:val="000000"/>
                <w:sz w:val="16"/>
                <w:szCs w:val="16"/>
              </w:rPr>
              <w:t>Escenario 3: Optimista</w:t>
            </w:r>
          </w:p>
        </w:tc>
        <w:tc>
          <w:tcPr>
            <w:tcW w:w="2592" w:type="dxa"/>
            <w:noWrap/>
            <w:vAlign w:val="center"/>
            <w:hideMark/>
          </w:tcPr>
          <w:p w14:paraId="1EC8ADE6" w14:textId="03C9ADF9" w:rsidR="005E4A14" w:rsidRPr="00210A53" w:rsidRDefault="007B0A42" w:rsidP="00C16F9E">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12</w:t>
            </w:r>
            <w:r w:rsidR="005E4A14" w:rsidRPr="00EE10BC">
              <w:rPr>
                <w:rFonts w:ascii="Arial" w:hAnsi="Arial" w:cs="Arial"/>
                <w:sz w:val="16"/>
                <w:szCs w:val="16"/>
              </w:rPr>
              <w:t>%</w:t>
            </w:r>
          </w:p>
        </w:tc>
      </w:tr>
    </w:tbl>
    <w:p w14:paraId="3C670151" w14:textId="3966CC11" w:rsidR="005E4A14" w:rsidRPr="00210A53" w:rsidRDefault="005E4A14" w:rsidP="005E4A14">
      <w:pPr>
        <w:rPr>
          <w:rFonts w:ascii="Arial" w:hAnsi="Arial" w:cs="Arial"/>
        </w:rPr>
      </w:pPr>
    </w:p>
    <w:p w14:paraId="37AF805E" w14:textId="049FA76D" w:rsidR="005E4A14" w:rsidRPr="00210A53" w:rsidRDefault="005E4A14" w:rsidP="005E4A14">
      <w:pPr>
        <w:rPr>
          <w:rFonts w:ascii="Arial" w:hAnsi="Arial" w:cs="Arial"/>
        </w:rPr>
      </w:pPr>
    </w:p>
    <w:p w14:paraId="7BE6B68B" w14:textId="5CF5EA4E" w:rsidR="004B7B55" w:rsidRPr="00210A53" w:rsidRDefault="004B7B55" w:rsidP="005E4A14">
      <w:pPr>
        <w:rPr>
          <w:rFonts w:ascii="Arial" w:hAnsi="Arial" w:cs="Arial"/>
        </w:rPr>
      </w:pPr>
    </w:p>
    <w:p w14:paraId="612A9D42" w14:textId="3ADFCE89" w:rsidR="004B7B55" w:rsidRPr="00210A53" w:rsidRDefault="004B7B55" w:rsidP="005E4A14">
      <w:pPr>
        <w:rPr>
          <w:rFonts w:ascii="Arial" w:hAnsi="Arial" w:cs="Arial"/>
        </w:rPr>
      </w:pPr>
    </w:p>
    <w:p w14:paraId="37032447" w14:textId="0E938EB7" w:rsidR="004B7B55" w:rsidRPr="00210A53" w:rsidRDefault="004B7B55" w:rsidP="005E4A14">
      <w:pPr>
        <w:rPr>
          <w:rFonts w:ascii="Arial" w:hAnsi="Arial" w:cs="Arial"/>
        </w:rPr>
      </w:pPr>
    </w:p>
    <w:p w14:paraId="4DD6AA91" w14:textId="77777777" w:rsidR="004B7B55" w:rsidRPr="00210A53" w:rsidRDefault="004B7B55" w:rsidP="005E4A14">
      <w:pPr>
        <w:rPr>
          <w:rFonts w:ascii="Arial" w:hAnsi="Arial" w:cs="Arial"/>
        </w:rPr>
      </w:pPr>
    </w:p>
    <w:p w14:paraId="2BAFEEF8" w14:textId="20D6B5E6" w:rsidR="00F7002E" w:rsidRPr="00210A53" w:rsidRDefault="006E4E6C" w:rsidP="006E4E6C">
      <w:pPr>
        <w:keepNext/>
        <w:jc w:val="center"/>
        <w:rPr>
          <w:rFonts w:ascii="Arial" w:hAnsi="Arial" w:cs="Arial"/>
          <w:sz w:val="18"/>
          <w:szCs w:val="16"/>
        </w:rPr>
      </w:pPr>
      <w:r>
        <w:rPr>
          <w:rFonts w:ascii="Arial" w:hAnsi="Arial" w:cs="Arial"/>
          <w:sz w:val="18"/>
          <w:szCs w:val="16"/>
        </w:rPr>
        <w:br/>
      </w:r>
      <w:r w:rsidR="009A7753" w:rsidRPr="00210A53">
        <w:rPr>
          <w:rFonts w:ascii="Arial" w:hAnsi="Arial" w:cs="Arial"/>
          <w:sz w:val="18"/>
          <w:szCs w:val="16"/>
        </w:rPr>
        <w:t>Fuente: Elaboració</w:t>
      </w:r>
      <w:r w:rsidR="00FB6D56" w:rsidRPr="00210A53">
        <w:rPr>
          <w:rFonts w:ascii="Arial" w:hAnsi="Arial" w:cs="Arial"/>
          <w:sz w:val="18"/>
          <w:szCs w:val="16"/>
        </w:rPr>
        <w:t>n de los autores.</w:t>
      </w:r>
    </w:p>
    <w:p w14:paraId="0B8B3E5B" w14:textId="5811ACC1" w:rsidR="00D93A4B" w:rsidRPr="00210A53" w:rsidRDefault="00D93A4B" w:rsidP="005E4A14">
      <w:pPr>
        <w:autoSpaceDE w:val="0"/>
        <w:autoSpaceDN w:val="0"/>
        <w:adjustRightInd w:val="0"/>
        <w:spacing w:before="120" w:after="100" w:afterAutospacing="1"/>
        <w:jc w:val="both"/>
        <w:rPr>
          <w:rFonts w:ascii="Arial" w:hAnsi="Arial" w:cs="Arial"/>
          <w:sz w:val="22"/>
          <w:szCs w:val="22"/>
        </w:rPr>
      </w:pPr>
      <w:r w:rsidRPr="00210A53">
        <w:rPr>
          <w:rFonts w:ascii="Arial" w:hAnsi="Arial" w:cs="Arial"/>
          <w:sz w:val="22"/>
          <w:szCs w:val="22"/>
        </w:rPr>
        <w:t xml:space="preserve">Para asignar un valor monetario a los </w:t>
      </w:r>
      <w:proofErr w:type="spellStart"/>
      <w:r w:rsidRPr="00210A53">
        <w:rPr>
          <w:rFonts w:ascii="Arial" w:hAnsi="Arial" w:cs="Arial"/>
          <w:sz w:val="22"/>
          <w:szCs w:val="22"/>
        </w:rPr>
        <w:t>AVADs</w:t>
      </w:r>
      <w:proofErr w:type="spellEnd"/>
      <w:r w:rsidRPr="00210A53">
        <w:rPr>
          <w:rFonts w:ascii="Arial" w:hAnsi="Arial" w:cs="Arial"/>
          <w:sz w:val="22"/>
          <w:szCs w:val="22"/>
        </w:rPr>
        <w:t xml:space="preserve"> obtenidos por todas las intervenciones, se presume que cada AVAD equivale a un año de productividad plena. Basado en este supuesto el aumento en productividad se puede valorar utilizando el PIB per cápita en dólares corrientes de Brasil que de acuerdo </w:t>
      </w:r>
      <w:r w:rsidR="00EE2AFF" w:rsidRPr="00210A53">
        <w:rPr>
          <w:rFonts w:ascii="Arial" w:hAnsi="Arial" w:cs="Arial"/>
          <w:sz w:val="22"/>
          <w:szCs w:val="22"/>
        </w:rPr>
        <w:t>con</w:t>
      </w:r>
      <w:r w:rsidRPr="00210A53">
        <w:rPr>
          <w:rFonts w:ascii="Arial" w:hAnsi="Arial" w:cs="Arial"/>
          <w:sz w:val="22"/>
          <w:szCs w:val="22"/>
        </w:rPr>
        <w:t xml:space="preserve"> las estimaciones del </w:t>
      </w:r>
      <w:proofErr w:type="spellStart"/>
      <w:r w:rsidRPr="00210A53">
        <w:rPr>
          <w:rFonts w:ascii="Arial" w:hAnsi="Arial" w:cs="Arial"/>
          <w:i/>
          <w:sz w:val="22"/>
          <w:szCs w:val="22"/>
        </w:rPr>
        <w:t>World</w:t>
      </w:r>
      <w:proofErr w:type="spellEnd"/>
      <w:r w:rsidRPr="00210A53">
        <w:rPr>
          <w:rFonts w:ascii="Arial" w:hAnsi="Arial" w:cs="Arial"/>
          <w:i/>
          <w:sz w:val="22"/>
          <w:szCs w:val="22"/>
        </w:rPr>
        <w:t xml:space="preserve"> </w:t>
      </w:r>
      <w:proofErr w:type="spellStart"/>
      <w:r w:rsidRPr="00210A53">
        <w:rPr>
          <w:rFonts w:ascii="Arial" w:hAnsi="Arial" w:cs="Arial"/>
          <w:i/>
          <w:sz w:val="22"/>
          <w:szCs w:val="22"/>
        </w:rPr>
        <w:t>Economic</w:t>
      </w:r>
      <w:proofErr w:type="spellEnd"/>
      <w:r w:rsidRPr="00210A53">
        <w:rPr>
          <w:rFonts w:ascii="Arial" w:hAnsi="Arial" w:cs="Arial"/>
          <w:i/>
          <w:sz w:val="22"/>
          <w:szCs w:val="22"/>
        </w:rPr>
        <w:t xml:space="preserve"> Outlook</w:t>
      </w:r>
      <w:r w:rsidRPr="00210A53">
        <w:rPr>
          <w:rFonts w:ascii="Arial" w:hAnsi="Arial" w:cs="Arial"/>
          <w:sz w:val="22"/>
          <w:szCs w:val="22"/>
        </w:rPr>
        <w:t xml:space="preserve"> (actualización de abril de 20</w:t>
      </w:r>
      <w:r w:rsidR="00826E1B" w:rsidRPr="00210A53">
        <w:rPr>
          <w:rFonts w:ascii="Arial" w:hAnsi="Arial" w:cs="Arial"/>
          <w:sz w:val="22"/>
          <w:szCs w:val="22"/>
        </w:rPr>
        <w:t>21</w:t>
      </w:r>
      <w:r w:rsidRPr="00210A53">
        <w:rPr>
          <w:rFonts w:ascii="Arial" w:hAnsi="Arial" w:cs="Arial"/>
          <w:sz w:val="22"/>
          <w:szCs w:val="22"/>
        </w:rPr>
        <w:t xml:space="preserve">) del Fondo Monetario Internacional (FMI) que ascenderá a </w:t>
      </w:r>
      <w:r w:rsidR="00826E1B" w:rsidRPr="00210A53">
        <w:rPr>
          <w:rFonts w:ascii="Arial" w:hAnsi="Arial" w:cs="Arial"/>
          <w:sz w:val="22"/>
          <w:szCs w:val="22"/>
        </w:rPr>
        <w:t>7.010</w:t>
      </w:r>
      <w:r w:rsidRPr="00210A53">
        <w:rPr>
          <w:rFonts w:ascii="Arial" w:hAnsi="Arial" w:cs="Arial"/>
          <w:sz w:val="22"/>
          <w:szCs w:val="22"/>
        </w:rPr>
        <w:t xml:space="preserve"> dólares en 20</w:t>
      </w:r>
      <w:r w:rsidR="00826E1B" w:rsidRPr="00210A53">
        <w:rPr>
          <w:rFonts w:ascii="Arial" w:hAnsi="Arial" w:cs="Arial"/>
          <w:sz w:val="22"/>
          <w:szCs w:val="22"/>
        </w:rPr>
        <w:t>21</w:t>
      </w:r>
      <w:r w:rsidRPr="00210A53">
        <w:rPr>
          <w:rFonts w:ascii="Arial" w:hAnsi="Arial" w:cs="Arial"/>
          <w:sz w:val="22"/>
          <w:szCs w:val="22"/>
        </w:rPr>
        <w:t>. Los valores del PIB subsecuentes a 202</w:t>
      </w:r>
      <w:r w:rsidR="00826E1B" w:rsidRPr="00210A53">
        <w:rPr>
          <w:rFonts w:ascii="Arial" w:hAnsi="Arial" w:cs="Arial"/>
          <w:sz w:val="22"/>
          <w:szCs w:val="22"/>
        </w:rPr>
        <w:t>6</w:t>
      </w:r>
      <w:r w:rsidRPr="00210A53">
        <w:rPr>
          <w:rFonts w:ascii="Arial" w:hAnsi="Arial" w:cs="Arial"/>
          <w:sz w:val="22"/>
          <w:szCs w:val="22"/>
        </w:rPr>
        <w:t xml:space="preserve"> se estiman utilizando la tasa de crecimiento promedio anual entre 2018 y 2023 del PIB en precios constantes (1,</w:t>
      </w:r>
      <w:r w:rsidR="00FA0DF3">
        <w:rPr>
          <w:rFonts w:ascii="Arial" w:hAnsi="Arial" w:cs="Arial"/>
          <w:sz w:val="22"/>
          <w:szCs w:val="22"/>
        </w:rPr>
        <w:t>58</w:t>
      </w:r>
      <w:r w:rsidRPr="00210A53">
        <w:rPr>
          <w:rFonts w:ascii="Arial" w:hAnsi="Arial" w:cs="Arial"/>
          <w:sz w:val="22"/>
          <w:szCs w:val="22"/>
        </w:rPr>
        <w:t xml:space="preserve">%) de acuerdo con la misma fuente. </w:t>
      </w:r>
    </w:p>
    <w:p w14:paraId="257B52FD" w14:textId="38194AF2" w:rsidR="00F7002E" w:rsidRPr="00210A53" w:rsidRDefault="7281F445" w:rsidP="027F12FB">
      <w:pPr>
        <w:autoSpaceDE w:val="0"/>
        <w:autoSpaceDN w:val="0"/>
        <w:adjustRightInd w:val="0"/>
        <w:spacing w:before="120" w:after="100" w:afterAutospacing="1"/>
        <w:jc w:val="both"/>
        <w:rPr>
          <w:rFonts w:ascii="Arial" w:hAnsi="Arial" w:cs="Arial"/>
          <w:sz w:val="22"/>
          <w:szCs w:val="22"/>
        </w:rPr>
      </w:pPr>
      <w:r w:rsidRPr="027F12FB">
        <w:rPr>
          <w:rFonts w:ascii="Arial" w:hAnsi="Arial" w:cs="Arial"/>
          <w:sz w:val="22"/>
          <w:szCs w:val="22"/>
        </w:rPr>
        <w:t>Se espera que los beneficios de las inversiones empiecen a observarse a partir</w:t>
      </w:r>
      <w:r w:rsidR="07800BDF" w:rsidRPr="027F12FB">
        <w:rPr>
          <w:rFonts w:ascii="Arial" w:hAnsi="Arial" w:cs="Arial"/>
          <w:sz w:val="22"/>
          <w:szCs w:val="22"/>
        </w:rPr>
        <w:t xml:space="preserve"> de </w:t>
      </w:r>
      <w:r w:rsidR="24E75293" w:rsidRPr="00F04917">
        <w:rPr>
          <w:rFonts w:ascii="Arial" w:hAnsi="Arial" w:cs="Arial"/>
          <w:sz w:val="22"/>
          <w:szCs w:val="22"/>
        </w:rPr>
        <w:t>202</w:t>
      </w:r>
      <w:r w:rsidR="006E6D71" w:rsidRPr="00F04917">
        <w:rPr>
          <w:rFonts w:ascii="Arial" w:hAnsi="Arial" w:cs="Arial"/>
          <w:sz w:val="22"/>
          <w:szCs w:val="22"/>
        </w:rPr>
        <w:t>5</w:t>
      </w:r>
      <w:r w:rsidR="26A2FB73" w:rsidRPr="027F12FB">
        <w:rPr>
          <w:rFonts w:ascii="Arial" w:hAnsi="Arial" w:cs="Arial"/>
          <w:sz w:val="22"/>
          <w:szCs w:val="22"/>
        </w:rPr>
        <w:t>, sin embargo</w:t>
      </w:r>
      <w:r w:rsidR="6536A971" w:rsidRPr="027F12FB">
        <w:rPr>
          <w:rFonts w:ascii="Arial" w:hAnsi="Arial" w:cs="Arial"/>
          <w:sz w:val="22"/>
          <w:szCs w:val="22"/>
        </w:rPr>
        <w:t>,</w:t>
      </w:r>
      <w:r w:rsidR="26A2FB73" w:rsidRPr="027F12FB">
        <w:rPr>
          <w:rFonts w:ascii="Arial" w:hAnsi="Arial" w:cs="Arial"/>
          <w:sz w:val="22"/>
          <w:szCs w:val="22"/>
        </w:rPr>
        <w:t xml:space="preserve"> </w:t>
      </w:r>
      <w:r w:rsidR="38EEEA89" w:rsidRPr="027F12FB">
        <w:rPr>
          <w:rFonts w:ascii="Arial" w:hAnsi="Arial" w:cs="Arial"/>
          <w:sz w:val="22"/>
          <w:szCs w:val="22"/>
        </w:rPr>
        <w:t>se prevé que</w:t>
      </w:r>
      <w:r w:rsidR="26A2FB73" w:rsidRPr="027F12FB">
        <w:rPr>
          <w:rFonts w:ascii="Arial" w:hAnsi="Arial" w:cs="Arial"/>
          <w:sz w:val="22"/>
          <w:szCs w:val="22"/>
        </w:rPr>
        <w:t xml:space="preserve"> al inicio</w:t>
      </w:r>
      <w:r w:rsidR="38EEEA89" w:rsidRPr="027F12FB">
        <w:rPr>
          <w:rFonts w:ascii="Arial" w:hAnsi="Arial" w:cs="Arial"/>
          <w:sz w:val="22"/>
          <w:szCs w:val="22"/>
        </w:rPr>
        <w:t xml:space="preserve"> de la intervención se obtenga un porcentaje bajo de los beneficios potenciales y que a medida que se </w:t>
      </w:r>
      <w:r w:rsidR="26A2FB73" w:rsidRPr="027F12FB">
        <w:rPr>
          <w:rFonts w:ascii="Arial" w:hAnsi="Arial" w:cs="Arial"/>
          <w:sz w:val="22"/>
          <w:szCs w:val="22"/>
        </w:rPr>
        <w:t xml:space="preserve">concluyen más </w:t>
      </w:r>
      <w:r w:rsidR="3B527503" w:rsidRPr="027F12FB">
        <w:rPr>
          <w:rFonts w:ascii="Arial" w:hAnsi="Arial" w:cs="Arial"/>
          <w:sz w:val="22"/>
          <w:szCs w:val="22"/>
        </w:rPr>
        <w:t xml:space="preserve">intervenciones </w:t>
      </w:r>
      <w:r w:rsidR="38EEEA89" w:rsidRPr="027F12FB">
        <w:rPr>
          <w:rFonts w:ascii="Arial" w:hAnsi="Arial" w:cs="Arial"/>
          <w:sz w:val="22"/>
          <w:szCs w:val="22"/>
        </w:rPr>
        <w:t>y se internalizan</w:t>
      </w:r>
      <w:r w:rsidR="3543579B" w:rsidRPr="027F12FB">
        <w:rPr>
          <w:rFonts w:ascii="Arial" w:hAnsi="Arial" w:cs="Arial"/>
          <w:sz w:val="22"/>
          <w:szCs w:val="22"/>
        </w:rPr>
        <w:t xml:space="preserve"> las </w:t>
      </w:r>
      <w:r w:rsidR="714BE045" w:rsidRPr="027F12FB">
        <w:rPr>
          <w:rFonts w:ascii="Arial" w:hAnsi="Arial" w:cs="Arial"/>
          <w:sz w:val="22"/>
          <w:szCs w:val="22"/>
        </w:rPr>
        <w:t>mejores de la red de salud</w:t>
      </w:r>
      <w:r w:rsidR="24E75293" w:rsidRPr="027F12FB">
        <w:rPr>
          <w:rFonts w:ascii="Arial" w:hAnsi="Arial" w:cs="Arial"/>
          <w:sz w:val="22"/>
          <w:szCs w:val="22"/>
        </w:rPr>
        <w:t xml:space="preserve"> </w:t>
      </w:r>
      <w:r w:rsidR="38EEEA89" w:rsidRPr="027F12FB">
        <w:rPr>
          <w:rFonts w:ascii="Arial" w:hAnsi="Arial" w:cs="Arial"/>
          <w:sz w:val="22"/>
          <w:szCs w:val="22"/>
        </w:rPr>
        <w:t>se obtenga una mayor proporción de los beneficios</w:t>
      </w:r>
      <w:r w:rsidR="07800BDF" w:rsidRPr="027F12FB">
        <w:rPr>
          <w:rFonts w:ascii="Arial" w:hAnsi="Arial" w:cs="Arial"/>
          <w:sz w:val="22"/>
          <w:szCs w:val="22"/>
        </w:rPr>
        <w:t>.</w:t>
      </w:r>
      <w:r w:rsidR="3B3DBB71" w:rsidRPr="027F12FB">
        <w:rPr>
          <w:rFonts w:ascii="Arial" w:hAnsi="Arial" w:cs="Arial"/>
          <w:sz w:val="22"/>
          <w:szCs w:val="22"/>
        </w:rPr>
        <w:t xml:space="preserve"> Se utilizan </w:t>
      </w:r>
      <w:r w:rsidR="38EEEA89" w:rsidRPr="027F12FB">
        <w:rPr>
          <w:rFonts w:ascii="Arial" w:hAnsi="Arial" w:cs="Arial"/>
          <w:sz w:val="22"/>
          <w:szCs w:val="22"/>
        </w:rPr>
        <w:t>3 vectores de gradualidad</w:t>
      </w:r>
      <w:r w:rsidR="76EEAE34" w:rsidRPr="027F12FB">
        <w:rPr>
          <w:rFonts w:ascii="Arial" w:hAnsi="Arial" w:cs="Arial"/>
          <w:sz w:val="22"/>
          <w:szCs w:val="22"/>
        </w:rPr>
        <w:t xml:space="preserve"> (lento, regular y rápido)</w:t>
      </w:r>
      <w:r w:rsidR="38EEEA89" w:rsidRPr="027F12FB">
        <w:rPr>
          <w:rFonts w:ascii="Arial" w:hAnsi="Arial" w:cs="Arial"/>
          <w:sz w:val="22"/>
          <w:szCs w:val="22"/>
        </w:rPr>
        <w:t xml:space="preserve"> que se representan en la</w:t>
      </w:r>
      <w:r w:rsidR="6C70D7F5" w:rsidRPr="027F12FB">
        <w:rPr>
          <w:rFonts w:ascii="Arial" w:hAnsi="Arial" w:cs="Arial"/>
          <w:sz w:val="22"/>
          <w:szCs w:val="22"/>
        </w:rPr>
        <w:t xml:space="preserve"> </w:t>
      </w:r>
      <w:r w:rsidR="09F89EBC" w:rsidRPr="027F12FB">
        <w:rPr>
          <w:rFonts w:ascii="Arial" w:hAnsi="Arial" w:cs="Arial"/>
          <w:sz w:val="22"/>
          <w:szCs w:val="22"/>
        </w:rPr>
        <w:t>Figu</w:t>
      </w:r>
      <w:r w:rsidR="38EEEA89" w:rsidRPr="027F12FB">
        <w:rPr>
          <w:rFonts w:ascii="Arial" w:hAnsi="Arial" w:cs="Arial"/>
          <w:sz w:val="22"/>
          <w:szCs w:val="22"/>
        </w:rPr>
        <w:t>ra 2. Dado que se prevé que al final del desembolso del préstamo en 202</w:t>
      </w:r>
      <w:r w:rsidR="5E100719" w:rsidRPr="027F12FB">
        <w:rPr>
          <w:rFonts w:ascii="Arial" w:hAnsi="Arial" w:cs="Arial"/>
          <w:sz w:val="22"/>
          <w:szCs w:val="22"/>
        </w:rPr>
        <w:t>7</w:t>
      </w:r>
      <w:r w:rsidR="38EEEA89" w:rsidRPr="027F12FB">
        <w:rPr>
          <w:rFonts w:ascii="Arial" w:hAnsi="Arial" w:cs="Arial"/>
          <w:sz w:val="22"/>
          <w:szCs w:val="22"/>
        </w:rPr>
        <w:t xml:space="preserve"> no se hayan obtenido todos los beneficios de</w:t>
      </w:r>
      <w:r w:rsidR="3543579B" w:rsidRPr="027F12FB">
        <w:rPr>
          <w:rFonts w:ascii="Arial" w:hAnsi="Arial" w:cs="Arial"/>
          <w:sz w:val="22"/>
          <w:szCs w:val="22"/>
        </w:rPr>
        <w:t>l</w:t>
      </w:r>
      <w:r w:rsidR="24E75293" w:rsidRPr="027F12FB">
        <w:rPr>
          <w:rFonts w:ascii="Arial" w:hAnsi="Arial" w:cs="Arial"/>
          <w:sz w:val="22"/>
          <w:szCs w:val="22"/>
        </w:rPr>
        <w:t xml:space="preserve"> programa</w:t>
      </w:r>
      <w:r w:rsidR="38EEEA89" w:rsidRPr="027F12FB">
        <w:rPr>
          <w:rFonts w:ascii="Arial" w:hAnsi="Arial" w:cs="Arial"/>
          <w:sz w:val="22"/>
          <w:szCs w:val="22"/>
        </w:rPr>
        <w:t xml:space="preserve">, se realiza un análisis </w:t>
      </w:r>
      <w:r w:rsidR="4E776060" w:rsidRPr="027F12FB">
        <w:rPr>
          <w:rFonts w:ascii="Arial" w:hAnsi="Arial" w:cs="Arial"/>
          <w:sz w:val="22"/>
          <w:szCs w:val="22"/>
        </w:rPr>
        <w:t>a</w:t>
      </w:r>
      <w:r w:rsidR="24E75293" w:rsidRPr="027F12FB">
        <w:rPr>
          <w:rFonts w:ascii="Arial" w:hAnsi="Arial" w:cs="Arial"/>
          <w:sz w:val="22"/>
          <w:szCs w:val="22"/>
        </w:rPr>
        <w:t>lternativo que comprende de 20</w:t>
      </w:r>
      <w:r w:rsidR="5E100719" w:rsidRPr="027F12FB">
        <w:rPr>
          <w:rFonts w:ascii="Arial" w:hAnsi="Arial" w:cs="Arial"/>
          <w:sz w:val="22"/>
          <w:szCs w:val="22"/>
        </w:rPr>
        <w:t>27</w:t>
      </w:r>
      <w:r w:rsidR="38EEEA89" w:rsidRPr="027F12FB">
        <w:rPr>
          <w:rFonts w:ascii="Arial" w:hAnsi="Arial" w:cs="Arial"/>
          <w:sz w:val="22"/>
          <w:szCs w:val="22"/>
        </w:rPr>
        <w:t xml:space="preserve"> a 20</w:t>
      </w:r>
      <w:r w:rsidR="5E100719" w:rsidRPr="027F12FB">
        <w:rPr>
          <w:rFonts w:ascii="Arial" w:hAnsi="Arial" w:cs="Arial"/>
          <w:sz w:val="22"/>
          <w:szCs w:val="22"/>
        </w:rPr>
        <w:t>31</w:t>
      </w:r>
      <w:r w:rsidR="38EEEA89" w:rsidRPr="027F12FB">
        <w:rPr>
          <w:rFonts w:ascii="Arial" w:hAnsi="Arial" w:cs="Arial"/>
          <w:sz w:val="22"/>
          <w:szCs w:val="22"/>
        </w:rPr>
        <w:t xml:space="preserve">. </w:t>
      </w:r>
    </w:p>
    <w:p w14:paraId="61F6FFA2" w14:textId="792AF192" w:rsidR="00A53F45" w:rsidRPr="00A53F45" w:rsidRDefault="00D40AF4" w:rsidP="009871F9">
      <w:pPr>
        <w:pStyle w:val="Caption"/>
      </w:pPr>
      <w:r w:rsidRPr="00210A53">
        <w:t xml:space="preserve">Figura </w:t>
      </w:r>
      <w:r w:rsidR="00AA3C84" w:rsidRPr="00210A53">
        <w:fldChar w:fldCharType="begin"/>
      </w:r>
      <w:r w:rsidR="00AA3C84" w:rsidRPr="00210A53">
        <w:instrText xml:space="preserve"> SEQ Figura \* ARABIC </w:instrText>
      </w:r>
      <w:r w:rsidR="00AA3C84" w:rsidRPr="00210A53">
        <w:fldChar w:fldCharType="separate"/>
      </w:r>
      <w:r w:rsidR="00987350">
        <w:rPr>
          <w:noProof/>
        </w:rPr>
        <w:t>2</w:t>
      </w:r>
      <w:r w:rsidR="00AA3C84" w:rsidRPr="00210A53">
        <w:fldChar w:fldCharType="end"/>
      </w:r>
      <w:r w:rsidRPr="00210A53">
        <w:t>.</w:t>
      </w:r>
      <w:r w:rsidR="00722247" w:rsidRPr="00210A53">
        <w:t xml:space="preserve"> </w:t>
      </w:r>
      <w:r w:rsidR="00722247" w:rsidRPr="0089592F">
        <w:t>Vectores de gradualidad para obtener los beneficios del programa</w:t>
      </w:r>
    </w:p>
    <w:p w14:paraId="2902A7AE" w14:textId="1FE4E1DA" w:rsidR="00D91524" w:rsidRPr="00D91524" w:rsidRDefault="00CF2963" w:rsidP="00CF2963">
      <w:r>
        <w:rPr>
          <w:noProof/>
        </w:rPr>
        <w:drawing>
          <wp:inline distT="0" distB="0" distL="0" distR="0" wp14:anchorId="101B7198" wp14:editId="5E3CF3BD">
            <wp:extent cx="5665522" cy="2029968"/>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65522" cy="2029968"/>
                    </a:xfrm>
                    <a:prstGeom prst="rect">
                      <a:avLst/>
                    </a:prstGeom>
                    <a:noFill/>
                  </pic:spPr>
                </pic:pic>
              </a:graphicData>
            </a:graphic>
          </wp:inline>
        </w:drawing>
      </w:r>
    </w:p>
    <w:p w14:paraId="0B7D1B27" w14:textId="77777777" w:rsidR="005C3827" w:rsidRDefault="005C3827" w:rsidP="00D91524">
      <w:pPr>
        <w:jc w:val="center"/>
        <w:rPr>
          <w:rFonts w:ascii="Arial" w:hAnsi="Arial" w:cs="Arial"/>
          <w:sz w:val="18"/>
        </w:rPr>
      </w:pPr>
    </w:p>
    <w:p w14:paraId="79D517A3" w14:textId="625C56DC" w:rsidR="00B82A07" w:rsidRPr="00210A53" w:rsidRDefault="00B82A07" w:rsidP="00D91524">
      <w:pPr>
        <w:jc w:val="center"/>
        <w:rPr>
          <w:rFonts w:ascii="Arial" w:hAnsi="Arial" w:cs="Arial"/>
          <w:sz w:val="18"/>
        </w:rPr>
      </w:pPr>
      <w:r w:rsidRPr="00210A53">
        <w:rPr>
          <w:rFonts w:ascii="Arial" w:hAnsi="Arial" w:cs="Arial"/>
          <w:sz w:val="18"/>
        </w:rPr>
        <w:t>Fuente: Elaboración de los autores.</w:t>
      </w:r>
    </w:p>
    <w:p w14:paraId="49837EFC" w14:textId="77777777" w:rsidR="00540AF9" w:rsidRPr="00210A53" w:rsidRDefault="00540AF9" w:rsidP="00113389">
      <w:pPr>
        <w:autoSpaceDE w:val="0"/>
        <w:autoSpaceDN w:val="0"/>
        <w:adjustRightInd w:val="0"/>
        <w:jc w:val="both"/>
        <w:rPr>
          <w:rFonts w:ascii="Arial" w:hAnsi="Arial" w:cs="Arial"/>
          <w:sz w:val="22"/>
          <w:szCs w:val="22"/>
        </w:rPr>
      </w:pPr>
    </w:p>
    <w:p w14:paraId="499178CE" w14:textId="6907139C" w:rsidR="005E4A14" w:rsidRPr="00210A53" w:rsidRDefault="00722247" w:rsidP="556FAFAE">
      <w:pPr>
        <w:autoSpaceDE w:val="0"/>
        <w:autoSpaceDN w:val="0"/>
        <w:adjustRightInd w:val="0"/>
        <w:spacing w:before="120" w:after="100" w:afterAutospacing="1"/>
        <w:jc w:val="both"/>
        <w:rPr>
          <w:rFonts w:ascii="Arial" w:hAnsi="Arial" w:cs="Arial"/>
          <w:sz w:val="22"/>
          <w:szCs w:val="22"/>
        </w:rPr>
      </w:pPr>
      <w:r w:rsidRPr="00210A53">
        <w:rPr>
          <w:rFonts w:ascii="Arial" w:hAnsi="Arial" w:cs="Arial"/>
          <w:sz w:val="22"/>
          <w:szCs w:val="22"/>
        </w:rPr>
        <w:t>Aunque se incluyen cuatro escenarios de tasas de descuento</w:t>
      </w:r>
      <w:r w:rsidR="00146EDA" w:rsidRPr="00210A53">
        <w:rPr>
          <w:rStyle w:val="FootnoteReference"/>
          <w:rFonts w:ascii="Arial" w:hAnsi="Arial" w:cs="Arial"/>
          <w:sz w:val="22"/>
          <w:szCs w:val="22"/>
        </w:rPr>
        <w:footnoteReference w:id="9"/>
      </w:r>
      <w:r w:rsidRPr="00210A53">
        <w:rPr>
          <w:rFonts w:ascii="Arial" w:hAnsi="Arial" w:cs="Arial"/>
          <w:sz w:val="22"/>
          <w:szCs w:val="22"/>
        </w:rPr>
        <w:t xml:space="preserve"> para evaluar la relación costo beneficio </w:t>
      </w:r>
      <w:r w:rsidR="00E970DC" w:rsidRPr="00210A53">
        <w:rPr>
          <w:rFonts w:ascii="Arial" w:hAnsi="Arial" w:cs="Arial"/>
          <w:sz w:val="22"/>
          <w:szCs w:val="22"/>
        </w:rPr>
        <w:t>de</w:t>
      </w:r>
      <w:r w:rsidR="00BB57FD" w:rsidRPr="00210A53">
        <w:rPr>
          <w:rFonts w:ascii="Arial" w:hAnsi="Arial" w:cs="Arial"/>
          <w:sz w:val="22"/>
          <w:szCs w:val="22"/>
        </w:rPr>
        <w:t>l programa</w:t>
      </w:r>
      <w:r w:rsidRPr="00210A53">
        <w:rPr>
          <w:rFonts w:ascii="Arial" w:hAnsi="Arial" w:cs="Arial"/>
          <w:sz w:val="22"/>
          <w:szCs w:val="22"/>
        </w:rPr>
        <w:t xml:space="preserve">, </w:t>
      </w:r>
      <w:r w:rsidR="006C0AD0" w:rsidRPr="00210A53">
        <w:rPr>
          <w:rFonts w:ascii="Arial" w:hAnsi="Arial" w:cs="Arial"/>
          <w:sz w:val="22"/>
          <w:szCs w:val="22"/>
        </w:rPr>
        <w:t>se favorece utilizar la tasa de 3%</w:t>
      </w:r>
      <w:r w:rsidR="004C78A0">
        <w:rPr>
          <w:rStyle w:val="FootnoteReference"/>
          <w:rFonts w:ascii="Arial" w:hAnsi="Arial" w:cs="Arial"/>
          <w:sz w:val="22"/>
          <w:szCs w:val="22"/>
        </w:rPr>
        <w:footnoteReference w:id="10"/>
      </w:r>
      <w:r w:rsidR="006C0AD0" w:rsidRPr="00210A53">
        <w:rPr>
          <w:rFonts w:ascii="Arial" w:hAnsi="Arial" w:cs="Arial"/>
          <w:sz w:val="22"/>
          <w:szCs w:val="22"/>
        </w:rPr>
        <w:t xml:space="preserve"> que resulta </w:t>
      </w:r>
      <w:r w:rsidRPr="00210A53">
        <w:rPr>
          <w:rFonts w:ascii="Arial" w:hAnsi="Arial" w:cs="Arial"/>
          <w:sz w:val="22"/>
          <w:szCs w:val="22"/>
        </w:rPr>
        <w:t>más adecuada para eva</w:t>
      </w:r>
      <w:r w:rsidR="006C0AD0" w:rsidRPr="00210A53">
        <w:rPr>
          <w:rFonts w:ascii="Arial" w:hAnsi="Arial" w:cs="Arial"/>
          <w:sz w:val="22"/>
          <w:szCs w:val="22"/>
        </w:rPr>
        <w:t xml:space="preserve">luar proyectos sociales que la </w:t>
      </w:r>
      <w:r w:rsidRPr="00210A53">
        <w:rPr>
          <w:rFonts w:ascii="Arial" w:hAnsi="Arial" w:cs="Arial"/>
          <w:sz w:val="22"/>
          <w:szCs w:val="22"/>
        </w:rPr>
        <w:t xml:space="preserve">tasa de 12% que es comúnmente utilizada para evaluar proyectos de infraestructura </w:t>
      </w:r>
      <w:r w:rsidR="007F2D30" w:rsidRPr="00210A53">
        <w:rPr>
          <w:rFonts w:ascii="Arial" w:hAnsi="Arial" w:cs="Arial"/>
          <w:sz w:val="22"/>
          <w:szCs w:val="22"/>
        </w:rPr>
        <w:t>de transporte o</w:t>
      </w:r>
      <w:r w:rsidRPr="00210A53">
        <w:rPr>
          <w:rFonts w:ascii="Arial" w:hAnsi="Arial" w:cs="Arial"/>
          <w:sz w:val="22"/>
          <w:szCs w:val="22"/>
        </w:rPr>
        <w:t xml:space="preserve"> energía.</w:t>
      </w:r>
      <w:r w:rsidR="00AB0B5B" w:rsidRPr="00210A53">
        <w:rPr>
          <w:rFonts w:ascii="Arial" w:hAnsi="Arial" w:cs="Arial"/>
          <w:sz w:val="22"/>
          <w:szCs w:val="22"/>
        </w:rPr>
        <w:t xml:space="preserve"> </w:t>
      </w:r>
      <w:r w:rsidR="00FF628C" w:rsidRPr="00210A53">
        <w:rPr>
          <w:rFonts w:ascii="Arial" w:hAnsi="Arial" w:cs="Arial"/>
          <w:sz w:val="22"/>
          <w:szCs w:val="22"/>
        </w:rPr>
        <w:t>E</w:t>
      </w:r>
      <w:r w:rsidR="00EE705A" w:rsidRPr="00210A53">
        <w:rPr>
          <w:rFonts w:ascii="Arial" w:hAnsi="Arial" w:cs="Arial"/>
          <w:sz w:val="22"/>
          <w:szCs w:val="22"/>
        </w:rPr>
        <w:t xml:space="preserve">xiste </w:t>
      </w:r>
      <w:r w:rsidRPr="00210A53">
        <w:rPr>
          <w:rFonts w:ascii="Arial" w:hAnsi="Arial" w:cs="Arial"/>
          <w:sz w:val="22"/>
          <w:szCs w:val="22"/>
        </w:rPr>
        <w:t xml:space="preserve">una </w:t>
      </w:r>
      <w:r w:rsidR="00EE705A" w:rsidRPr="00210A53">
        <w:rPr>
          <w:rFonts w:ascii="Arial" w:hAnsi="Arial" w:cs="Arial"/>
          <w:sz w:val="22"/>
          <w:szCs w:val="22"/>
        </w:rPr>
        <w:t xml:space="preserve">amplia literatura teórica y </w:t>
      </w:r>
      <w:r w:rsidR="00EE705A" w:rsidRPr="00210A53">
        <w:rPr>
          <w:rFonts w:ascii="Arial" w:hAnsi="Arial" w:cs="Arial"/>
          <w:sz w:val="22"/>
          <w:szCs w:val="22"/>
        </w:rPr>
        <w:lastRenderedPageBreak/>
        <w:t>empírica que justifica</w:t>
      </w:r>
      <w:r w:rsidR="00876718">
        <w:rPr>
          <w:rFonts w:ascii="Arial" w:hAnsi="Arial" w:cs="Arial"/>
          <w:sz w:val="22"/>
          <w:szCs w:val="22"/>
        </w:rPr>
        <w:t> </w:t>
      </w:r>
      <w:r w:rsidR="00EE705A" w:rsidRPr="00210A53">
        <w:rPr>
          <w:rFonts w:ascii="Arial" w:hAnsi="Arial" w:cs="Arial"/>
          <w:sz w:val="22"/>
          <w:szCs w:val="22"/>
        </w:rPr>
        <w:t xml:space="preserve">utilizar valores </w:t>
      </w:r>
      <w:r w:rsidR="002A3D8F" w:rsidRPr="00210A53">
        <w:rPr>
          <w:rFonts w:ascii="Arial" w:hAnsi="Arial" w:cs="Arial"/>
          <w:sz w:val="22"/>
          <w:szCs w:val="22"/>
        </w:rPr>
        <w:t xml:space="preserve">relativamente </w:t>
      </w:r>
      <w:r w:rsidR="00AB0B5B" w:rsidRPr="00210A53">
        <w:rPr>
          <w:rFonts w:ascii="Arial" w:hAnsi="Arial" w:cs="Arial"/>
          <w:sz w:val="22"/>
          <w:szCs w:val="22"/>
        </w:rPr>
        <w:t>bajos</w:t>
      </w:r>
      <w:r w:rsidR="00EE705A" w:rsidRPr="00210A53">
        <w:rPr>
          <w:rFonts w:ascii="Arial" w:hAnsi="Arial" w:cs="Arial"/>
          <w:sz w:val="22"/>
          <w:szCs w:val="22"/>
        </w:rPr>
        <w:t xml:space="preserve"> </w:t>
      </w:r>
      <w:r w:rsidR="00FF628C" w:rsidRPr="00210A53">
        <w:rPr>
          <w:rFonts w:ascii="Arial" w:hAnsi="Arial" w:cs="Arial"/>
          <w:sz w:val="22"/>
          <w:szCs w:val="22"/>
        </w:rPr>
        <w:t xml:space="preserve">de la tasa </w:t>
      </w:r>
      <w:r w:rsidR="00EE705A" w:rsidRPr="00210A53">
        <w:rPr>
          <w:rFonts w:ascii="Arial" w:hAnsi="Arial" w:cs="Arial"/>
          <w:sz w:val="22"/>
          <w:szCs w:val="22"/>
        </w:rPr>
        <w:t>para el anális</w:t>
      </w:r>
      <w:r w:rsidR="00AB0B5B" w:rsidRPr="00210A53">
        <w:rPr>
          <w:rFonts w:ascii="Arial" w:hAnsi="Arial" w:cs="Arial"/>
          <w:sz w:val="22"/>
          <w:szCs w:val="22"/>
        </w:rPr>
        <w:t xml:space="preserve">is de proyectos sociales ya que estos proyectos tienen </w:t>
      </w:r>
      <w:r w:rsidR="00EE705A" w:rsidRPr="00210A53">
        <w:rPr>
          <w:rFonts w:ascii="Arial" w:hAnsi="Arial" w:cs="Arial"/>
          <w:sz w:val="22"/>
          <w:szCs w:val="22"/>
        </w:rPr>
        <w:t>importantes externalidades, se realizan en e</w:t>
      </w:r>
      <w:r w:rsidR="00AB0B5B" w:rsidRPr="00210A53">
        <w:rPr>
          <w:rFonts w:ascii="Arial" w:hAnsi="Arial" w:cs="Arial"/>
          <w:sz w:val="22"/>
          <w:szCs w:val="22"/>
        </w:rPr>
        <w:t>l mediano y largo plazo, y</w:t>
      </w:r>
      <w:r w:rsidR="00EE705A" w:rsidRPr="00210A53">
        <w:rPr>
          <w:rFonts w:ascii="Arial" w:hAnsi="Arial" w:cs="Arial"/>
          <w:sz w:val="22"/>
          <w:szCs w:val="22"/>
        </w:rPr>
        <w:t xml:space="preserve"> la monetización de los beneficios no es tan directa. </w:t>
      </w:r>
      <w:r w:rsidR="00F84D8D" w:rsidRPr="00210A53">
        <w:rPr>
          <w:rFonts w:ascii="Arial" w:hAnsi="Arial" w:cs="Arial"/>
          <w:sz w:val="22"/>
          <w:szCs w:val="22"/>
        </w:rPr>
        <w:t xml:space="preserve">El análisis de </w:t>
      </w:r>
      <w:r w:rsidR="001872C6" w:rsidRPr="00210A53">
        <w:rPr>
          <w:rFonts w:ascii="Arial" w:hAnsi="Arial" w:cs="Arial"/>
          <w:sz w:val="22"/>
          <w:szCs w:val="22"/>
        </w:rPr>
        <w:fldChar w:fldCharType="begin" w:fldLock="1"/>
      </w:r>
      <w:r w:rsidR="001872C6" w:rsidRPr="00210A53">
        <w:rPr>
          <w:rFonts w:ascii="Arial" w:hAnsi="Arial" w:cs="Arial"/>
          <w:sz w:val="22"/>
          <w:szCs w:val="22"/>
        </w:rPr>
        <w:instrText>ADDIN CSL_CITATION { "citationItems" : [ { "id" : "ITEM-1", "itemData" : { "author" : [ { "dropping-particle" : "", "family" : "Zhuang", "given" : "J", "non-dropping-particle" : "", "parse-names" : false, "suffix" : "" }, { "dropping-particle" : "", "family" : "Liang", "given" : "Z", "non-dropping-particle" : "", "parse-names" : false, "suffix" : "" }, { "dropping-particle" : "", "family" : "Lin", "given" : "T", "non-dropping-particle" : "", "parse-names" : false, "suffix" : "" }, { "dropping-particle" : "De", "family" : "Guzman", "given" : "F", "non-dropping-particle" : "", "parse-names" : false, "suffix" : "" } ], "id" : "ITEM-1", "issued" : { "date-parts" : [ [ "2007" ] ] }, "title" : "Theory and practice in the choice of social discount rate for cost-benefit analysis: a survey", "type" : "article-journal" }, "uris" : [ "http://www.mendeley.com/documents/?uuid=51604dde-2ed8-495a-9696-b3161bc180f6" ] } ], "mendeley" : { "formattedCitation" : "(Zhuang et al. 2007)", "manualFormatting" : "Zhuang et al. (2007)", "plainTextFormattedCitation" : "(Zhuang et al. 2007)", "previouslyFormattedCitation" : "(Zhuang et al. 2007)" }, "properties" : { "noteIndex" : 0 }, "schema" : "https://github.com/citation-style-language/schema/raw/master/csl-citation.json" }</w:instrText>
      </w:r>
      <w:r w:rsidR="001872C6" w:rsidRPr="00210A53">
        <w:rPr>
          <w:rFonts w:ascii="Arial" w:hAnsi="Arial" w:cs="Arial"/>
          <w:sz w:val="22"/>
          <w:szCs w:val="22"/>
        </w:rPr>
        <w:fldChar w:fldCharType="separate"/>
      </w:r>
      <w:r w:rsidR="001872C6" w:rsidRPr="00210A53">
        <w:rPr>
          <w:rFonts w:ascii="Arial" w:hAnsi="Arial" w:cs="Arial"/>
          <w:sz w:val="22"/>
          <w:szCs w:val="22"/>
        </w:rPr>
        <w:t>Zhuang et al. (2007)</w:t>
      </w:r>
      <w:r w:rsidR="001872C6" w:rsidRPr="00210A53">
        <w:rPr>
          <w:rFonts w:ascii="Arial" w:hAnsi="Arial" w:cs="Arial"/>
          <w:sz w:val="22"/>
          <w:szCs w:val="22"/>
        </w:rPr>
        <w:fldChar w:fldCharType="end"/>
      </w:r>
      <w:r w:rsidR="001872C6" w:rsidRPr="00210A53">
        <w:rPr>
          <w:rFonts w:ascii="Arial" w:hAnsi="Arial" w:cs="Arial"/>
          <w:sz w:val="22"/>
          <w:szCs w:val="22"/>
        </w:rPr>
        <w:t xml:space="preserve"> </w:t>
      </w:r>
      <w:r w:rsidR="00F84D8D" w:rsidRPr="00210A53">
        <w:rPr>
          <w:rFonts w:ascii="Arial" w:hAnsi="Arial" w:cs="Arial"/>
          <w:sz w:val="22"/>
          <w:szCs w:val="22"/>
        </w:rPr>
        <w:t xml:space="preserve">encuentra que </w:t>
      </w:r>
      <w:r w:rsidR="00FF628C" w:rsidRPr="00210A53">
        <w:rPr>
          <w:rFonts w:ascii="Arial" w:hAnsi="Arial" w:cs="Arial"/>
          <w:sz w:val="22"/>
          <w:szCs w:val="22"/>
        </w:rPr>
        <w:t>países desarrollados como Francia, Alemania, Italia y España utilizan tasas entre 3 y 7%</w:t>
      </w:r>
      <w:r w:rsidR="00876718">
        <w:rPr>
          <w:rFonts w:ascii="Arial" w:hAnsi="Arial" w:cs="Arial"/>
          <w:sz w:val="22"/>
          <w:szCs w:val="22"/>
        </w:rPr>
        <w:t> </w:t>
      </w:r>
      <w:r w:rsidR="00FF628C" w:rsidRPr="00210A53">
        <w:rPr>
          <w:rFonts w:ascii="Arial" w:hAnsi="Arial" w:cs="Arial"/>
          <w:sz w:val="22"/>
          <w:szCs w:val="22"/>
        </w:rPr>
        <w:t xml:space="preserve">para evaluar proyectos sociales mientras que los países en desarrollo optan por tasas entre 8 y 15%. </w:t>
      </w:r>
      <w:r w:rsidR="00F84D8D" w:rsidRPr="00210A53">
        <w:rPr>
          <w:rFonts w:ascii="Arial" w:hAnsi="Arial" w:cs="Arial"/>
          <w:sz w:val="22"/>
          <w:szCs w:val="22"/>
        </w:rPr>
        <w:t xml:space="preserve">El trabajo de </w:t>
      </w:r>
      <w:r w:rsidR="001872C6" w:rsidRPr="00210A53">
        <w:rPr>
          <w:rFonts w:ascii="Arial" w:hAnsi="Arial" w:cs="Arial"/>
          <w:sz w:val="22"/>
          <w:szCs w:val="22"/>
        </w:rPr>
        <w:fldChar w:fldCharType="begin" w:fldLock="1"/>
      </w:r>
      <w:r w:rsidR="001872C6" w:rsidRPr="00210A53">
        <w:rPr>
          <w:rFonts w:ascii="Arial" w:hAnsi="Arial" w:cs="Arial"/>
          <w:sz w:val="22"/>
          <w:szCs w:val="22"/>
        </w:rPr>
        <w:instrText>ADDIN CSL_CITATION { "citationItems" : [ { "id" : "ITEM-1", "itemData" : { "DOI" : "10.1596/1813-9450-4639", "author" : [ { "dropping-particle" : "", "family" : "Lopez", "given" : "Humberto", "non-dropping-particle" : "", "parse-names" : false, "suffix" : "" } ], "collection-title" : "Policy Research Working Papers", "id" : "ITEM-1", "issued" : { "date-parts" : [ [ "2008", "6", "12" ] ] }, "language" : "English", "publisher" : "The World Bank", "title" : "The Social Discount Rate: Estimates For Nine Latin American Countries", "type" : "book" }, "uris" : [ "http://www.mendeley.com/documents/?uuid=1c1d3902-07ef-4655-9402-cdac0fbfa4be" ] } ], "mendeley" : { "formattedCitation" : "(Lopez 2008)", "manualFormatting" : "Lopez (2008)", "plainTextFormattedCitation" : "(Lopez 2008)", "previouslyFormattedCitation" : "(Lopez 2008)" }, "properties" : { "noteIndex" : 0 }, "schema" : "https://github.com/citation-style-language/schema/raw/master/csl-citation.json" }</w:instrText>
      </w:r>
      <w:r w:rsidR="001872C6" w:rsidRPr="00210A53">
        <w:rPr>
          <w:rFonts w:ascii="Arial" w:hAnsi="Arial" w:cs="Arial"/>
          <w:sz w:val="22"/>
          <w:szCs w:val="22"/>
        </w:rPr>
        <w:fldChar w:fldCharType="separate"/>
      </w:r>
      <w:r w:rsidR="001872C6" w:rsidRPr="00210A53">
        <w:rPr>
          <w:rFonts w:ascii="Arial" w:hAnsi="Arial" w:cs="Arial"/>
          <w:sz w:val="22"/>
          <w:szCs w:val="22"/>
        </w:rPr>
        <w:t>Lopez (2008)</w:t>
      </w:r>
      <w:r w:rsidR="001872C6" w:rsidRPr="00210A53">
        <w:rPr>
          <w:rFonts w:ascii="Arial" w:hAnsi="Arial" w:cs="Arial"/>
          <w:sz w:val="22"/>
          <w:szCs w:val="22"/>
        </w:rPr>
        <w:fldChar w:fldCharType="end"/>
      </w:r>
      <w:r w:rsidR="001872C6" w:rsidRPr="00210A53">
        <w:rPr>
          <w:rFonts w:ascii="Arial" w:hAnsi="Arial" w:cs="Arial"/>
          <w:sz w:val="22"/>
          <w:szCs w:val="22"/>
        </w:rPr>
        <w:t xml:space="preserve"> </w:t>
      </w:r>
      <w:r w:rsidR="00F84D8D" w:rsidRPr="00210A53">
        <w:rPr>
          <w:rFonts w:ascii="Arial" w:hAnsi="Arial" w:cs="Arial"/>
          <w:sz w:val="22"/>
          <w:szCs w:val="22"/>
        </w:rPr>
        <w:t xml:space="preserve">que estima </w:t>
      </w:r>
      <w:r w:rsidR="00EE705A" w:rsidRPr="00210A53">
        <w:rPr>
          <w:rFonts w:ascii="Arial" w:hAnsi="Arial" w:cs="Arial"/>
          <w:sz w:val="22"/>
          <w:szCs w:val="22"/>
        </w:rPr>
        <w:t>tasas de descuento para nueve países latinoamericano</w:t>
      </w:r>
      <w:r w:rsidR="00F84D8D" w:rsidRPr="00210A53">
        <w:rPr>
          <w:rFonts w:ascii="Arial" w:hAnsi="Arial" w:cs="Arial"/>
          <w:sz w:val="22"/>
          <w:szCs w:val="22"/>
        </w:rPr>
        <w:t>s indica que la selección de la tasa depende las expectativas de crecimiento. Esto es que ante un escenario de crecimiento económico bajo la tasa de descuento debe situarse entre 3 y 4% mientras que en un escenario de crecimiento acelerado la tasa puede ser de un 5</w:t>
      </w:r>
      <w:r w:rsidR="00876718">
        <w:rPr>
          <w:rFonts w:ascii="Arial" w:hAnsi="Arial" w:cs="Arial"/>
          <w:sz w:val="22"/>
          <w:szCs w:val="22"/>
        </w:rPr>
        <w:t> </w:t>
      </w:r>
      <w:r w:rsidR="00F84D8D" w:rsidRPr="00210A53">
        <w:rPr>
          <w:rFonts w:ascii="Arial" w:hAnsi="Arial" w:cs="Arial"/>
          <w:sz w:val="22"/>
          <w:szCs w:val="22"/>
        </w:rPr>
        <w:t>o</w:t>
      </w:r>
      <w:r w:rsidR="00876718">
        <w:rPr>
          <w:rFonts w:ascii="Arial" w:hAnsi="Arial" w:cs="Arial"/>
          <w:sz w:val="22"/>
          <w:szCs w:val="22"/>
        </w:rPr>
        <w:t> </w:t>
      </w:r>
      <w:r w:rsidR="00F84D8D" w:rsidRPr="00210A53">
        <w:rPr>
          <w:rFonts w:ascii="Arial" w:hAnsi="Arial" w:cs="Arial"/>
          <w:sz w:val="22"/>
          <w:szCs w:val="22"/>
        </w:rPr>
        <w:t>hasta 7%. En el caso de Latinoamérica algunos autores han utilizado tasas menores al 12%</w:t>
      </w:r>
      <w:r w:rsidR="00876718">
        <w:rPr>
          <w:rFonts w:ascii="Arial" w:hAnsi="Arial" w:cs="Arial"/>
          <w:sz w:val="22"/>
          <w:szCs w:val="22"/>
        </w:rPr>
        <w:t> </w:t>
      </w:r>
      <w:r w:rsidR="00F84D8D" w:rsidRPr="00210A53">
        <w:rPr>
          <w:rFonts w:ascii="Arial" w:hAnsi="Arial" w:cs="Arial"/>
          <w:sz w:val="22"/>
          <w:szCs w:val="22"/>
        </w:rPr>
        <w:t>para</w:t>
      </w:r>
      <w:r w:rsidR="001872C6" w:rsidRPr="00210A53">
        <w:rPr>
          <w:rFonts w:ascii="Arial" w:hAnsi="Arial" w:cs="Arial"/>
          <w:sz w:val="22"/>
          <w:szCs w:val="22"/>
        </w:rPr>
        <w:t xml:space="preserve"> evaluar proyectos. Por ejemplo, </w:t>
      </w:r>
      <w:r w:rsidR="001872C6" w:rsidRPr="00210A53">
        <w:rPr>
          <w:rFonts w:ascii="Arial" w:hAnsi="Arial" w:cs="Arial"/>
          <w:sz w:val="22"/>
          <w:szCs w:val="22"/>
        </w:rPr>
        <w:fldChar w:fldCharType="begin" w:fldLock="1"/>
      </w:r>
      <w:r w:rsidR="001872C6" w:rsidRPr="00210A53">
        <w:rPr>
          <w:rFonts w:ascii="Arial" w:hAnsi="Arial" w:cs="Arial"/>
          <w:sz w:val="22"/>
          <w:szCs w:val="22"/>
        </w:rPr>
        <w:instrText>ADDIN CSL_CITATION { "citationItems" : [ { "id" : "ITEM-1", "itemData" : { "author" : [ { "dropping-particle" : "", "family" : "Castillo", "given" : "CP", "non-dropping-particle" : "De", "parse-names" : false, "suffix" : "" }, { "dropping-particle" : "", "family" : "Lema", "given" : "R", "non-dropping-particle" : "", "parse-names" : false, "suffix" : "" } ], "id" : "ITEM-1", "issued" : { "date-parts" : [ [ "1998" ] ] }, "title" : "Economic Analysis of Social Investment Fund Projects: Case Studies and Minimum Requirements Proposal", "type" : "article-journal" }, "uris" : [ "http://www.mendeley.com/documents/?uuid=0e5a3df5-2ed5-414b-8877-801d78ccdf46" ] } ], "mendeley" : { "formattedCitation" : "(De Castillo and Lema 1998)", "manualFormatting" : "De Castillo y Lema (1998)", "plainTextFormattedCitation" : "(De Castillo and Lema 1998)", "previouslyFormattedCitation" : "(De Castillo and Lema 1998)" }, "properties" : { "noteIndex" : 0 }, "schema" : "https://github.com/citation-style-language/schema/raw/master/csl-citation.json" }</w:instrText>
      </w:r>
      <w:r w:rsidR="001872C6" w:rsidRPr="00210A53">
        <w:rPr>
          <w:rFonts w:ascii="Arial" w:hAnsi="Arial" w:cs="Arial"/>
          <w:sz w:val="22"/>
          <w:szCs w:val="22"/>
        </w:rPr>
        <w:fldChar w:fldCharType="separate"/>
      </w:r>
      <w:r w:rsidR="001872C6" w:rsidRPr="00210A53">
        <w:rPr>
          <w:rFonts w:ascii="Arial" w:hAnsi="Arial" w:cs="Arial"/>
          <w:sz w:val="22"/>
          <w:szCs w:val="22"/>
        </w:rPr>
        <w:t>De Castillo y Lema (1998)</w:t>
      </w:r>
      <w:r w:rsidR="001872C6" w:rsidRPr="00210A53">
        <w:rPr>
          <w:rFonts w:ascii="Arial" w:hAnsi="Arial" w:cs="Arial"/>
          <w:sz w:val="22"/>
          <w:szCs w:val="22"/>
        </w:rPr>
        <w:fldChar w:fldCharType="end"/>
      </w:r>
      <w:r w:rsidR="001872C6" w:rsidRPr="00210A53">
        <w:rPr>
          <w:rFonts w:ascii="Arial" w:hAnsi="Arial" w:cs="Arial"/>
          <w:sz w:val="22"/>
          <w:szCs w:val="22"/>
        </w:rPr>
        <w:t xml:space="preserve"> </w:t>
      </w:r>
      <w:r w:rsidR="00F84D8D" w:rsidRPr="00210A53">
        <w:rPr>
          <w:rFonts w:ascii="Arial" w:hAnsi="Arial" w:cs="Arial"/>
          <w:sz w:val="22"/>
          <w:szCs w:val="22"/>
        </w:rPr>
        <w:t>utilizan</w:t>
      </w:r>
      <w:r w:rsidR="00EE705A" w:rsidRPr="00210A53">
        <w:rPr>
          <w:rFonts w:ascii="Arial" w:hAnsi="Arial" w:cs="Arial"/>
          <w:sz w:val="22"/>
          <w:szCs w:val="22"/>
        </w:rPr>
        <w:t xml:space="preserve"> una tasa de descuento del 8% para analizar económicamente unos fondos soci</w:t>
      </w:r>
      <w:r w:rsidR="00F84D8D" w:rsidRPr="00210A53">
        <w:rPr>
          <w:rFonts w:ascii="Arial" w:hAnsi="Arial" w:cs="Arial"/>
          <w:sz w:val="22"/>
          <w:szCs w:val="22"/>
        </w:rPr>
        <w:t xml:space="preserve">ales de inversión en Bolivia, </w:t>
      </w:r>
      <w:r w:rsidR="00EE705A" w:rsidRPr="00210A53">
        <w:rPr>
          <w:rFonts w:ascii="Arial" w:hAnsi="Arial" w:cs="Arial"/>
          <w:sz w:val="22"/>
          <w:szCs w:val="22"/>
        </w:rPr>
        <w:t>evaluaciones económicas del impacto de proyectos de nutrición en salud y educación usan tasas</w:t>
      </w:r>
      <w:r w:rsidR="001872C6" w:rsidRPr="00210A53">
        <w:rPr>
          <w:rFonts w:ascii="Arial" w:hAnsi="Arial" w:cs="Arial"/>
          <w:sz w:val="22"/>
          <w:szCs w:val="22"/>
        </w:rPr>
        <w:t xml:space="preserve"> de 8% </w:t>
      </w:r>
      <w:r w:rsidR="001872C6" w:rsidRPr="00210A53">
        <w:rPr>
          <w:rFonts w:ascii="Arial" w:hAnsi="Arial" w:cs="Arial"/>
          <w:sz w:val="22"/>
          <w:szCs w:val="22"/>
        </w:rPr>
        <w:fldChar w:fldCharType="begin" w:fldLock="1"/>
      </w:r>
      <w:r w:rsidR="001872C6" w:rsidRPr="00210A53">
        <w:rPr>
          <w:rFonts w:ascii="Arial" w:hAnsi="Arial" w:cs="Arial"/>
          <w:sz w:val="22"/>
          <w:szCs w:val="22"/>
        </w:rPr>
        <w:instrText>ADDIN CSL_CITATION { "citationItems" : [ { "id" : "ITEM-1", "itemData" : { "author" : [ { "dropping-particle" : "", "family" : "Martinez", "given" : "R", "non-dropping-particle" : "", "parse-names" : false, "suffix" : "" }, { "dropping-particle" : "", "family" : "Fern\u00e1ndez", "given" : "A", "non-dropping-particle" : "", "parse-names" : false, "suffix" : "" } ], "id" : "ITEM-1", "issued" : { "date-parts" : [ [ "2008" ] ] }, "title" : "The cost of hunger: social and economic impact of child undernutrition in Central America and the Dominican Republic", "type" : "book" }, "uris" : [ "http://www.mendeley.com/documents/?uuid=65013fa7-3187-46ea-9f70-c1a483e6658d" ] } ], "mendeley" : { "formattedCitation" : "(Martinez and Fern\u00e1ndez 2008)", "manualFormatting" : "Martinez y Fern\u00e1ndez (2008)", "plainTextFormattedCitation" : "(Martinez and Fern\u00e1ndez 2008)", "previouslyFormattedCitation" : "(Martinez and Fern\u00e1ndez 2008)" }, "properties" : { "noteIndex" : 0 }, "schema" : "https://github.com/citation-style-language/schema/raw/master/csl-citation.json" }</w:instrText>
      </w:r>
      <w:r w:rsidR="001872C6" w:rsidRPr="00210A53">
        <w:rPr>
          <w:rFonts w:ascii="Arial" w:hAnsi="Arial" w:cs="Arial"/>
          <w:sz w:val="22"/>
          <w:szCs w:val="22"/>
        </w:rPr>
        <w:fldChar w:fldCharType="separate"/>
      </w:r>
      <w:r w:rsidR="001872C6" w:rsidRPr="00210A53">
        <w:rPr>
          <w:rFonts w:ascii="Arial" w:hAnsi="Arial" w:cs="Arial"/>
          <w:sz w:val="22"/>
          <w:szCs w:val="22"/>
        </w:rPr>
        <w:t>Martinez y Fernández (2008)</w:t>
      </w:r>
      <w:r w:rsidR="001872C6" w:rsidRPr="00210A53">
        <w:rPr>
          <w:rFonts w:ascii="Arial" w:hAnsi="Arial" w:cs="Arial"/>
          <w:sz w:val="22"/>
          <w:szCs w:val="22"/>
        </w:rPr>
        <w:fldChar w:fldCharType="end"/>
      </w:r>
      <w:r w:rsidR="00AC2FC7" w:rsidRPr="00210A53">
        <w:rPr>
          <w:rFonts w:ascii="Arial" w:hAnsi="Arial" w:cs="Arial"/>
          <w:sz w:val="22"/>
          <w:szCs w:val="22"/>
        </w:rPr>
        <w:t xml:space="preserve">, </w:t>
      </w:r>
      <w:r w:rsidR="001872C6" w:rsidRPr="00210A53">
        <w:rPr>
          <w:rFonts w:ascii="Arial" w:hAnsi="Arial" w:cs="Arial"/>
          <w:sz w:val="22"/>
          <w:szCs w:val="22"/>
        </w:rPr>
        <w:fldChar w:fldCharType="begin" w:fldLock="1"/>
      </w:r>
      <w:r w:rsidR="001872C6" w:rsidRPr="00210A53">
        <w:rPr>
          <w:rFonts w:ascii="Arial" w:hAnsi="Arial" w:cs="Arial"/>
          <w:sz w:val="22"/>
          <w:szCs w:val="22"/>
        </w:rPr>
        <w:instrText>ADDIN CSL_CITATION { "citationItems" : [ { "id" : "ITEM-1", "itemData" : { "author" : [ { "dropping-particle" : "", "family" : "Heckman", "given" : "James J", "non-dropping-particle" : "", "parse-names" : false, "suffix" : "" }, { "dropping-particle" : "", "family" : "Moon", "given" : "Seong Hyeok", "non-dropping-particle" : "", "parse-names" : false, "suffix" : "" }, { "dropping-particle" : "", "family" : "Pinto", "given" : "Rodrigo", "non-dropping-particle" : "", "parse-names" : false, "suffix" : "" }, { "dropping-particle" : "", "family" : "Savelyev", "given" : "Peter", "non-dropping-particle" : "", "parse-names" : false, "suffix" : "" }, { "dropping-particle" : "", "family" : "Yavitz", "given" : "Adam", "non-dropping-particle" : "", "parse-names" : false, "suffix" : "" } ], "id" : "ITEM-1", "issued" : { "date-parts" : [ [ "2010", "7", "8" ] ] }, "title" : "A New Cost-Benefit and Rate of Return Analysis for the Perry Preschool Program: A Summary", "type" : "article-journal" }, "uris" : [ "http://www.mendeley.com/documents/?uuid=51756460-d664-4e2d-9acf-737c589d02aa" ] } ], "mendeley" : { "formattedCitation" : "(Heckman et al. 2010)", "manualFormatting" : "Heckman et al. (2010)", "plainTextFormattedCitation" : "(Heckman et al. 2010)", "previouslyFormattedCitation" : "(Heckman et al. 2010)" }, "properties" : { "noteIndex" : 0 }, "schema" : "https://github.com/citation-style-language/schema/raw/master/csl-citation.json" }</w:instrText>
      </w:r>
      <w:r w:rsidR="001872C6" w:rsidRPr="00210A53">
        <w:rPr>
          <w:rFonts w:ascii="Arial" w:hAnsi="Arial" w:cs="Arial"/>
          <w:sz w:val="22"/>
          <w:szCs w:val="22"/>
        </w:rPr>
        <w:fldChar w:fldCharType="separate"/>
      </w:r>
      <w:r w:rsidR="001872C6" w:rsidRPr="00210A53">
        <w:rPr>
          <w:rFonts w:ascii="Arial" w:hAnsi="Arial" w:cs="Arial"/>
          <w:sz w:val="22"/>
          <w:szCs w:val="22"/>
        </w:rPr>
        <w:t>Heckman et al. (2010)</w:t>
      </w:r>
      <w:r w:rsidR="001872C6" w:rsidRPr="00210A53">
        <w:rPr>
          <w:rFonts w:ascii="Arial" w:hAnsi="Arial" w:cs="Arial"/>
          <w:sz w:val="22"/>
          <w:szCs w:val="22"/>
        </w:rPr>
        <w:fldChar w:fldCharType="end"/>
      </w:r>
      <w:r w:rsidR="00EE705A" w:rsidRPr="00210A53">
        <w:rPr>
          <w:rFonts w:ascii="Arial" w:hAnsi="Arial" w:cs="Arial"/>
          <w:sz w:val="22"/>
          <w:szCs w:val="22"/>
        </w:rPr>
        <w:t xml:space="preserve"> utiliza</w:t>
      </w:r>
      <w:r w:rsidR="00AC2FC7" w:rsidRPr="00210A53">
        <w:rPr>
          <w:rFonts w:ascii="Arial" w:hAnsi="Arial" w:cs="Arial"/>
          <w:sz w:val="22"/>
          <w:szCs w:val="22"/>
        </w:rPr>
        <w:t>n</w:t>
      </w:r>
      <w:r w:rsidR="00EE705A" w:rsidRPr="00210A53">
        <w:rPr>
          <w:rFonts w:ascii="Arial" w:hAnsi="Arial" w:cs="Arial"/>
          <w:sz w:val="22"/>
          <w:szCs w:val="22"/>
        </w:rPr>
        <w:t xml:space="preserve"> una tasa de descue</w:t>
      </w:r>
      <w:r w:rsidR="00AC2FC7" w:rsidRPr="00210A53">
        <w:rPr>
          <w:rFonts w:ascii="Arial" w:hAnsi="Arial" w:cs="Arial"/>
          <w:sz w:val="22"/>
          <w:szCs w:val="22"/>
        </w:rPr>
        <w:t xml:space="preserve">nto de entre 3 y 5%, y </w:t>
      </w:r>
      <w:r w:rsidR="001872C6" w:rsidRPr="00210A53">
        <w:rPr>
          <w:rFonts w:ascii="Arial" w:hAnsi="Arial" w:cs="Arial"/>
          <w:sz w:val="22"/>
          <w:szCs w:val="22"/>
        </w:rPr>
        <w:fldChar w:fldCharType="begin" w:fldLock="1"/>
      </w:r>
      <w:r w:rsidR="001872C6" w:rsidRPr="00210A53">
        <w:rPr>
          <w:rFonts w:ascii="Arial" w:hAnsi="Arial" w:cs="Arial"/>
          <w:sz w:val="22"/>
          <w:szCs w:val="22"/>
        </w:rPr>
        <w:instrText>ADDIN CSL_CITATION { "citationItems" : [ { "id" : "ITEM-1", "itemData" : { "author" : [ { "dropping-particle" : "", "family" : "Lomborg", "given" : "B", "non-dropping-particle" : "", "parse-names" : false, "suffix" : "" } ], "id" : "ITEM-1", "issued" : { "date-parts" : [ [ "2010" ] ] }, "publisher" : "Cambridge University Press", "publisher-place" : "Cambridge, Reino Unido", "title" : "Latin American Development Priorities: Costs and Benefits", "type" : "book" }, "uris" : [ "http://www.mendeley.com/documents/?uuid=1114e6b8-54cd-4c00-b9ce-ec3194cacac7" ] } ], "mendeley" : { "formattedCitation" : "(Lomborg 2010)", "manualFormatting" : "Lomborg (2010)", "plainTextFormattedCitation" : "(Lomborg 2010)", "previouslyFormattedCitation" : "(Lomborg 2010)" }, "properties" : { "noteIndex" : 0 }, "schema" : "https://github.com/citation-style-language/schema/raw/master/csl-citation.json" }</w:instrText>
      </w:r>
      <w:r w:rsidR="001872C6" w:rsidRPr="00210A53">
        <w:rPr>
          <w:rFonts w:ascii="Arial" w:hAnsi="Arial" w:cs="Arial"/>
          <w:sz w:val="22"/>
          <w:szCs w:val="22"/>
        </w:rPr>
        <w:fldChar w:fldCharType="separate"/>
      </w:r>
      <w:r w:rsidR="001872C6" w:rsidRPr="00210A53">
        <w:rPr>
          <w:rFonts w:ascii="Arial" w:hAnsi="Arial" w:cs="Arial"/>
          <w:sz w:val="22"/>
          <w:szCs w:val="22"/>
        </w:rPr>
        <w:t>Lomborg (2010)</w:t>
      </w:r>
      <w:r w:rsidR="001872C6" w:rsidRPr="00210A53">
        <w:rPr>
          <w:rFonts w:ascii="Arial" w:hAnsi="Arial" w:cs="Arial"/>
          <w:sz w:val="22"/>
          <w:szCs w:val="22"/>
        </w:rPr>
        <w:fldChar w:fldCharType="end"/>
      </w:r>
      <w:r w:rsidR="009F2F7F" w:rsidRPr="00210A53">
        <w:rPr>
          <w:rFonts w:ascii="Arial" w:hAnsi="Arial" w:cs="Arial"/>
          <w:sz w:val="22"/>
          <w:szCs w:val="22"/>
        </w:rPr>
        <w:t xml:space="preserve"> </w:t>
      </w:r>
      <w:r w:rsidR="00EE705A" w:rsidRPr="00210A53">
        <w:rPr>
          <w:rFonts w:ascii="Arial" w:hAnsi="Arial" w:cs="Arial"/>
          <w:sz w:val="22"/>
          <w:szCs w:val="22"/>
        </w:rPr>
        <w:t xml:space="preserve">usa una tasa de descuento del 3 y del 6% para analizar el costo beneficio en </w:t>
      </w:r>
      <w:r w:rsidR="00AC2FC7" w:rsidRPr="00210A53">
        <w:rPr>
          <w:rFonts w:ascii="Arial" w:hAnsi="Arial" w:cs="Arial"/>
          <w:sz w:val="22"/>
          <w:szCs w:val="22"/>
        </w:rPr>
        <w:t>términos de educación de un Programa de Transferencias Condicionadas</w:t>
      </w:r>
      <w:r w:rsidR="00EE705A" w:rsidRPr="00210A53">
        <w:rPr>
          <w:rFonts w:ascii="Arial" w:hAnsi="Arial" w:cs="Arial"/>
          <w:sz w:val="22"/>
          <w:szCs w:val="22"/>
        </w:rPr>
        <w:t xml:space="preserve"> para el caso de tres países latinoamericanos. </w:t>
      </w:r>
      <w:r w:rsidR="00F84D8D" w:rsidRPr="00210A53">
        <w:rPr>
          <w:rFonts w:ascii="Arial" w:hAnsi="Arial" w:cs="Arial"/>
          <w:sz w:val="22"/>
          <w:szCs w:val="22"/>
        </w:rPr>
        <w:t xml:space="preserve">Finalmente, para proyectos de Salud, la </w:t>
      </w:r>
      <w:r w:rsidR="001872C6" w:rsidRPr="00210A53">
        <w:rPr>
          <w:rFonts w:ascii="Arial" w:hAnsi="Arial" w:cs="Arial"/>
          <w:sz w:val="22"/>
          <w:szCs w:val="22"/>
        </w:rPr>
        <w:t xml:space="preserve">OMS </w:t>
      </w:r>
      <w:r w:rsidR="001872C6" w:rsidRPr="00210A53">
        <w:rPr>
          <w:rFonts w:ascii="Arial" w:hAnsi="Arial" w:cs="Arial"/>
          <w:sz w:val="22"/>
          <w:szCs w:val="22"/>
        </w:rPr>
        <w:fldChar w:fldCharType="begin" w:fldLock="1"/>
      </w:r>
      <w:r w:rsidR="001872C6" w:rsidRPr="00210A53">
        <w:rPr>
          <w:rFonts w:ascii="Arial" w:hAnsi="Arial" w:cs="Arial"/>
          <w:sz w:val="22"/>
          <w:szCs w:val="22"/>
        </w:rPr>
        <w:instrText>ADDIN CSL_CITATION { "citationItems" : [ { "id" : "ITEM-1", "itemData" : { "editor" : [ { "dropping-particle" : "", "family" : "Tan-Torres Edejer", "given" : "T", "non-dropping-particle" : "", "parse-names" : false, "suffix" : "" }, { "dropping-particle" : "", "family" : "Baltussen", "given" : "R.", "non-dropping-particle" : "", "parse-names" : false, "suffix" : "" }, { "dropping-particle" : "", "family" : "Adam", "given" : "T", "non-dropping-particle" : "", "parse-names" : false, "suffix" : "" }, { "dropping-particle" : "", "family" : "Hutubessy", "given" : "R", "non-dropping-particle" : "", "parse-names" : false, "suffix" : "" }, { "dropping-particle" : "", "family" : "Acharya", "given" : "A.", "non-dropping-particle" : "", "parse-names" : false, "suffix" : "" }, { "dropping-particle" : "", "family" : "Evans", "given" : "D.B.", "non-dropping-particle" : "", "parse-names" : false, "suffix" : "" }, { "dropping-particle" : "", "family" : "Murray", "given" : "C.J.L.", "non-dropping-particle" : "", "parse-names" : false, "suffix" : "" } ], "id" : "ITEM-1", "issued" : { "date-parts" : [ [ "2003" ] ] }, "publisher" : "Organizaci\u00f3n Mundial de la Salud", "publisher-place" : "Ginebra, Suiza", "title" : "Making Choices in Health:WHO Guide to Cost-Effectiveness Analysis", "type" : "book" }, "uris" : [ "http://www.mendeley.com/documents/?uuid=25a26c8b-dbda-4a68-ae1c-4aef5e08e5d1" ] } ], "mendeley" : { "formattedCitation" : "(Tan-Torres Edejer et al. 2003)", "manualFormatting" : "(en Tan-Torres Edejer et al. 2003)", "plainTextFormattedCitation" : "(Tan-Torres Edejer et al. 2003)", "previouslyFormattedCitation" : "(Tan-Torres Edejer et al. 2003)" }, "properties" : { "noteIndex" : 0 }, "schema" : "https://github.com/citation-style-language/schema/raw/master/csl-citation.json" }</w:instrText>
      </w:r>
      <w:r w:rsidR="001872C6" w:rsidRPr="00210A53">
        <w:rPr>
          <w:rFonts w:ascii="Arial" w:hAnsi="Arial" w:cs="Arial"/>
          <w:sz w:val="22"/>
          <w:szCs w:val="22"/>
        </w:rPr>
        <w:fldChar w:fldCharType="separate"/>
      </w:r>
      <w:r w:rsidR="001872C6" w:rsidRPr="00210A53">
        <w:rPr>
          <w:rFonts w:ascii="Arial" w:hAnsi="Arial" w:cs="Arial"/>
          <w:sz w:val="22"/>
          <w:szCs w:val="22"/>
        </w:rPr>
        <w:t>(en Tan-Torres Edejer et al. 2003)</w:t>
      </w:r>
      <w:r w:rsidR="001872C6" w:rsidRPr="00210A53">
        <w:rPr>
          <w:rFonts w:ascii="Arial" w:hAnsi="Arial" w:cs="Arial"/>
          <w:sz w:val="22"/>
          <w:szCs w:val="22"/>
        </w:rPr>
        <w:fldChar w:fldCharType="end"/>
      </w:r>
      <w:r w:rsidR="001872C6" w:rsidRPr="00210A53">
        <w:rPr>
          <w:rFonts w:ascii="Arial" w:hAnsi="Arial" w:cs="Arial"/>
          <w:sz w:val="22"/>
          <w:szCs w:val="22"/>
        </w:rPr>
        <w:t xml:space="preserve"> </w:t>
      </w:r>
      <w:r w:rsidR="00F84D8D" w:rsidRPr="00210A53">
        <w:rPr>
          <w:rFonts w:ascii="Arial" w:hAnsi="Arial" w:cs="Arial"/>
          <w:sz w:val="22"/>
          <w:szCs w:val="22"/>
        </w:rPr>
        <w:t>recomienda usar 3% como tasa de descuento y sugieren que para los análisis de sensibilidad se descuenten los efectos de salud con una tasa del 0% y los costos con una del 6%.</w:t>
      </w:r>
    </w:p>
    <w:p w14:paraId="59CF3683" w14:textId="2690D7CE" w:rsidR="009C4EDA" w:rsidRDefault="00FF628C" w:rsidP="005E4A14">
      <w:pPr>
        <w:autoSpaceDE w:val="0"/>
        <w:autoSpaceDN w:val="0"/>
        <w:adjustRightInd w:val="0"/>
        <w:spacing w:before="120" w:after="100" w:afterAutospacing="1"/>
        <w:jc w:val="both"/>
        <w:rPr>
          <w:rFonts w:ascii="Arial" w:hAnsi="Arial" w:cs="Arial"/>
          <w:sz w:val="22"/>
          <w:szCs w:val="22"/>
        </w:rPr>
      </w:pPr>
      <w:r w:rsidRPr="00210A53">
        <w:rPr>
          <w:rFonts w:ascii="Arial" w:hAnsi="Arial" w:cs="Arial"/>
          <w:sz w:val="22"/>
          <w:szCs w:val="22"/>
        </w:rPr>
        <w:t xml:space="preserve">Las ganancias económicas del </w:t>
      </w:r>
      <w:r w:rsidR="00FA0D82" w:rsidRPr="00210A53">
        <w:rPr>
          <w:rFonts w:ascii="Arial" w:hAnsi="Arial" w:cs="Arial"/>
          <w:sz w:val="22"/>
          <w:szCs w:val="22"/>
        </w:rPr>
        <w:t>programa</w:t>
      </w:r>
      <w:r w:rsidRPr="00210A53">
        <w:rPr>
          <w:rFonts w:ascii="Arial" w:hAnsi="Arial" w:cs="Arial"/>
          <w:sz w:val="22"/>
          <w:szCs w:val="22"/>
        </w:rPr>
        <w:t xml:space="preserve"> están dadas por la combinación de los </w:t>
      </w:r>
      <w:proofErr w:type="spellStart"/>
      <w:r w:rsidRPr="00210A53">
        <w:rPr>
          <w:rFonts w:ascii="Arial" w:hAnsi="Arial" w:cs="Arial"/>
          <w:sz w:val="22"/>
          <w:szCs w:val="22"/>
        </w:rPr>
        <w:t>AVADs</w:t>
      </w:r>
      <w:proofErr w:type="spellEnd"/>
      <w:r w:rsidRPr="00210A53">
        <w:rPr>
          <w:rFonts w:ascii="Arial" w:hAnsi="Arial" w:cs="Arial"/>
          <w:sz w:val="22"/>
          <w:szCs w:val="22"/>
        </w:rPr>
        <w:t xml:space="preserve"> obtenidos </w:t>
      </w:r>
      <w:r w:rsidR="00344C86" w:rsidRPr="00210A53">
        <w:rPr>
          <w:rFonts w:ascii="Arial" w:hAnsi="Arial" w:cs="Arial"/>
          <w:sz w:val="22"/>
          <w:szCs w:val="22"/>
        </w:rPr>
        <w:t xml:space="preserve">por las diferentes </w:t>
      </w:r>
      <w:r w:rsidR="00874103" w:rsidRPr="00210A53">
        <w:rPr>
          <w:rFonts w:ascii="Arial" w:hAnsi="Arial" w:cs="Arial"/>
          <w:sz w:val="22"/>
          <w:szCs w:val="22"/>
        </w:rPr>
        <w:t>intervencio</w:t>
      </w:r>
      <w:r w:rsidR="00344C86" w:rsidRPr="00210A53">
        <w:rPr>
          <w:rFonts w:ascii="Arial" w:hAnsi="Arial" w:cs="Arial"/>
          <w:sz w:val="22"/>
          <w:szCs w:val="22"/>
        </w:rPr>
        <w:t>n</w:t>
      </w:r>
      <w:r w:rsidR="00874103" w:rsidRPr="00210A53">
        <w:rPr>
          <w:rFonts w:ascii="Arial" w:hAnsi="Arial" w:cs="Arial"/>
          <w:sz w:val="22"/>
          <w:szCs w:val="22"/>
        </w:rPr>
        <w:t>es</w:t>
      </w:r>
      <w:r w:rsidR="00344C86" w:rsidRPr="00210A53">
        <w:rPr>
          <w:rFonts w:ascii="Arial" w:hAnsi="Arial" w:cs="Arial"/>
          <w:sz w:val="22"/>
          <w:szCs w:val="22"/>
        </w:rPr>
        <w:t xml:space="preserve"> de</w:t>
      </w:r>
      <w:r w:rsidR="00BB57FD" w:rsidRPr="00210A53">
        <w:rPr>
          <w:rFonts w:ascii="Arial" w:hAnsi="Arial" w:cs="Arial"/>
          <w:sz w:val="22"/>
          <w:szCs w:val="22"/>
        </w:rPr>
        <w:t>l programa</w:t>
      </w:r>
      <w:r w:rsidR="00874103" w:rsidRPr="00210A53">
        <w:rPr>
          <w:rFonts w:ascii="Arial" w:hAnsi="Arial" w:cs="Arial"/>
          <w:sz w:val="22"/>
          <w:szCs w:val="22"/>
        </w:rPr>
        <w:t xml:space="preserve"> </w:t>
      </w:r>
      <w:r w:rsidR="00F84D8D" w:rsidRPr="00210A53">
        <w:rPr>
          <w:rFonts w:ascii="Arial" w:hAnsi="Arial" w:cs="Arial"/>
          <w:sz w:val="22"/>
          <w:szCs w:val="22"/>
        </w:rPr>
        <w:t>multiplicados por la productividad de la población</w:t>
      </w:r>
      <w:r w:rsidR="006D7E7E" w:rsidRPr="00210A53">
        <w:rPr>
          <w:rFonts w:ascii="Arial" w:hAnsi="Arial" w:cs="Arial"/>
          <w:sz w:val="22"/>
          <w:szCs w:val="22"/>
        </w:rPr>
        <w:t xml:space="preserve"> (PIB per cápita)</w:t>
      </w:r>
      <w:r w:rsidR="00F84D8D" w:rsidRPr="00210A53">
        <w:rPr>
          <w:rFonts w:ascii="Arial" w:hAnsi="Arial" w:cs="Arial"/>
          <w:sz w:val="22"/>
          <w:szCs w:val="22"/>
        </w:rPr>
        <w:t>. Posteriormente son ajustados por</w:t>
      </w:r>
      <w:r w:rsidR="009F66CE" w:rsidRPr="00210A53">
        <w:rPr>
          <w:rFonts w:ascii="Arial" w:hAnsi="Arial" w:cs="Arial"/>
          <w:sz w:val="22"/>
          <w:szCs w:val="22"/>
        </w:rPr>
        <w:t xml:space="preserve"> la contribución marginal a la cobertura efectiva</w:t>
      </w:r>
      <w:r w:rsidR="006D7E7E" w:rsidRPr="00210A53">
        <w:rPr>
          <w:rFonts w:ascii="Arial" w:hAnsi="Arial" w:cs="Arial"/>
          <w:sz w:val="22"/>
          <w:szCs w:val="22"/>
        </w:rPr>
        <w:t xml:space="preserve"> que se espera de </w:t>
      </w:r>
      <w:r w:rsidR="00874103" w:rsidRPr="00210A53">
        <w:rPr>
          <w:rFonts w:ascii="Arial" w:hAnsi="Arial" w:cs="Arial"/>
          <w:sz w:val="22"/>
          <w:szCs w:val="22"/>
        </w:rPr>
        <w:t>las intervencio</w:t>
      </w:r>
      <w:r w:rsidR="006D7E7E" w:rsidRPr="00210A53">
        <w:rPr>
          <w:rFonts w:ascii="Arial" w:hAnsi="Arial" w:cs="Arial"/>
          <w:sz w:val="22"/>
          <w:szCs w:val="22"/>
        </w:rPr>
        <w:t>n</w:t>
      </w:r>
      <w:r w:rsidR="00874103" w:rsidRPr="00210A53">
        <w:rPr>
          <w:rFonts w:ascii="Arial" w:hAnsi="Arial" w:cs="Arial"/>
          <w:sz w:val="22"/>
          <w:szCs w:val="22"/>
        </w:rPr>
        <w:t>es</w:t>
      </w:r>
      <w:r w:rsidR="009F66CE" w:rsidRPr="00210A53">
        <w:rPr>
          <w:rFonts w:ascii="Arial" w:hAnsi="Arial" w:cs="Arial"/>
          <w:sz w:val="22"/>
          <w:szCs w:val="22"/>
        </w:rPr>
        <w:t xml:space="preserve"> y por los</w:t>
      </w:r>
      <w:r w:rsidRPr="00210A53">
        <w:rPr>
          <w:rFonts w:ascii="Arial" w:hAnsi="Arial" w:cs="Arial"/>
          <w:sz w:val="22"/>
          <w:szCs w:val="22"/>
        </w:rPr>
        <w:t xml:space="preserve"> vectores</w:t>
      </w:r>
      <w:r w:rsidR="006D7E7E" w:rsidRPr="00210A53">
        <w:rPr>
          <w:rFonts w:ascii="Arial" w:hAnsi="Arial" w:cs="Arial"/>
          <w:sz w:val="22"/>
          <w:szCs w:val="22"/>
        </w:rPr>
        <w:t xml:space="preserve"> de gradualidad que afectan a todas las capas de intervención por igual.</w:t>
      </w:r>
    </w:p>
    <w:p w14:paraId="79780655" w14:textId="173AD47D" w:rsidR="003D03FD" w:rsidRPr="008F5BCE" w:rsidRDefault="009C4EDA" w:rsidP="008F5BCE">
      <w:pPr>
        <w:autoSpaceDE w:val="0"/>
        <w:autoSpaceDN w:val="0"/>
        <w:adjustRightInd w:val="0"/>
        <w:spacing w:before="120" w:after="100" w:afterAutospacing="1"/>
        <w:jc w:val="both"/>
        <w:rPr>
          <w:rFonts w:ascii="Arial" w:hAnsi="Arial" w:cs="Arial"/>
          <w:sz w:val="22"/>
          <w:szCs w:val="22"/>
        </w:rPr>
      </w:pPr>
      <w:r w:rsidRPr="009C4EDA">
        <w:rPr>
          <w:rFonts w:ascii="Arial" w:hAnsi="Arial" w:cs="Arial"/>
          <w:sz w:val="22"/>
          <w:szCs w:val="22"/>
        </w:rPr>
        <w:t xml:space="preserve">Además de las ganancias económicas del programa, las intervenciones del Componente 1 y 2 del programa, han demostrado tener un impacto en indicadores de salud en el mediano y largo plazo. El análisis de Valdivia (2004) identificó que el incremento del 52% del número de centros de salud públicos y del 35% del número de doctores en Perú entre 1992 y 1999, tuvo un impacto significativo en la mejora de la nutrición de los niños, especialmente cuando son construidos cerca del lugar de residencia de los niños. Esto debido a que la construcción de instalaciones de salud pública no sólo garantiza un mayor acceso a servicios de salud, sino también a programas públicos de salud como por ejemplo las campañas de vacunación. Ali and </w:t>
      </w:r>
      <w:proofErr w:type="spellStart"/>
      <w:r w:rsidRPr="009C4EDA">
        <w:rPr>
          <w:rFonts w:ascii="Arial" w:hAnsi="Arial" w:cs="Arial"/>
          <w:sz w:val="22"/>
          <w:szCs w:val="22"/>
        </w:rPr>
        <w:t>Şenturk</w:t>
      </w:r>
      <w:proofErr w:type="spellEnd"/>
      <w:r w:rsidRPr="009C4EDA">
        <w:rPr>
          <w:rFonts w:ascii="Arial" w:hAnsi="Arial" w:cs="Arial"/>
          <w:sz w:val="22"/>
          <w:szCs w:val="22"/>
        </w:rPr>
        <w:t xml:space="preserve"> (2019) también encontraron que el fortalecimiento de la infraestructura de salud – número hospitales, doctores, unidades básicas de salud, centros de salud materna e infantil – disminuyeron significativamente la mortalidad en niños menores a 5 años. Un estudio más reciente en Estado Unidos entre 2012 y 2016 muestra que el gasto público en salud y la prestación de servicios de salud comunitarios están asociados con una mejora en la salud de los individuos; especialmente de los años de vida perdidos antes de los 75 años por cada 100.000 habitantes, el porcentaje de la población con salud regular o mala, el porcentaje de adultos que están físicamente inactivos, las muertes por lesiones por cada 100.000 habitantes y el porcentaje de nacimientos de bajo peso (McCullough, J. et al. 2019). En cuanto a las intervenciones del programa asociadas a la modernización e innovación de la red de salud, </w:t>
      </w:r>
      <w:proofErr w:type="spellStart"/>
      <w:r w:rsidRPr="009C4EDA">
        <w:rPr>
          <w:rFonts w:ascii="Arial" w:hAnsi="Arial" w:cs="Arial"/>
          <w:sz w:val="22"/>
          <w:szCs w:val="22"/>
        </w:rPr>
        <w:t>Chaudry</w:t>
      </w:r>
      <w:proofErr w:type="spellEnd"/>
      <w:r w:rsidRPr="009C4EDA">
        <w:rPr>
          <w:rFonts w:ascii="Arial" w:hAnsi="Arial" w:cs="Arial"/>
          <w:sz w:val="22"/>
          <w:szCs w:val="22"/>
        </w:rPr>
        <w:t xml:space="preserve"> et al. (2006) y Hicks et al. (2008), encontraron que la adopción de tecnologías y servicios digitales aumentan la adherencia a tratamiento, aumentan la vigilancia y seguimiento de pacientes, y disminuyen los eventos adversos. Gill (2009) muestra también que la inversión en tecnologías digitales en salud disminuye la tasa de reingresos hospitalarios.</w:t>
      </w:r>
      <w:bookmarkStart w:id="35" w:name="_Ref296087688"/>
    </w:p>
    <w:p w14:paraId="7B1D580B" w14:textId="77777777" w:rsidR="008F5BCE" w:rsidRDefault="008F5BCE">
      <w:pPr>
        <w:rPr>
          <w:rFonts w:ascii="Arial" w:eastAsia="Cambria" w:hAnsi="Arial" w:cs="Arial"/>
          <w:b/>
          <w:bCs/>
          <w:sz w:val="18"/>
          <w:szCs w:val="20"/>
          <w:lang w:val="es-ES_tradnl"/>
        </w:rPr>
      </w:pPr>
      <w:r>
        <w:lastRenderedPageBreak/>
        <w:br w:type="page"/>
      </w:r>
    </w:p>
    <w:p w14:paraId="0B0B3663" w14:textId="7FF1C6A2" w:rsidR="00A66BBC" w:rsidRPr="0089592F" w:rsidRDefault="00A66BBC" w:rsidP="00CC7653">
      <w:pPr>
        <w:pStyle w:val="Caption"/>
        <w:rPr>
          <w:sz w:val="16"/>
          <w:szCs w:val="16"/>
        </w:rPr>
      </w:pPr>
      <w:r w:rsidRPr="009871F9">
        <w:lastRenderedPageBreak/>
        <w:t xml:space="preserve">Tabla </w:t>
      </w:r>
      <w:r w:rsidR="00AA3C84" w:rsidRPr="009871F9">
        <w:fldChar w:fldCharType="begin"/>
      </w:r>
      <w:r w:rsidR="00AA3C84" w:rsidRPr="009871F9">
        <w:instrText xml:space="preserve"> SEQ Tabla \* ARABIC </w:instrText>
      </w:r>
      <w:r w:rsidR="00AA3C84" w:rsidRPr="009871F9">
        <w:fldChar w:fldCharType="separate"/>
      </w:r>
      <w:r w:rsidR="00987350">
        <w:rPr>
          <w:noProof/>
        </w:rPr>
        <w:t>5</w:t>
      </w:r>
      <w:r w:rsidR="00AA3C84" w:rsidRPr="009871F9">
        <w:fldChar w:fldCharType="end"/>
      </w:r>
      <w:bookmarkEnd w:id="35"/>
      <w:r w:rsidRPr="009871F9">
        <w:t xml:space="preserve">. </w:t>
      </w:r>
      <w:r w:rsidR="004268B3" w:rsidRPr="0089592F">
        <w:t>An</w:t>
      </w:r>
      <w:r w:rsidR="004268B3" w:rsidRPr="0089592F">
        <w:rPr>
          <w:rFonts w:eastAsia="Calibri"/>
        </w:rPr>
        <w:t>álisis</w:t>
      </w:r>
      <w:r w:rsidR="004268B3" w:rsidRPr="0089592F">
        <w:t xml:space="preserve"> </w:t>
      </w:r>
      <w:r w:rsidR="004268B3" w:rsidRPr="0089592F">
        <w:rPr>
          <w:rFonts w:eastAsia="Calibri"/>
        </w:rPr>
        <w:t>de</w:t>
      </w:r>
      <w:r w:rsidR="004268B3" w:rsidRPr="0089592F">
        <w:t xml:space="preserve"> </w:t>
      </w:r>
      <w:r w:rsidR="004268B3" w:rsidRPr="0089592F">
        <w:rPr>
          <w:rFonts w:eastAsia="Calibri"/>
        </w:rPr>
        <w:t>sensibilidad</w:t>
      </w:r>
      <w:r w:rsidRPr="0089592F">
        <w:t xml:space="preserve"> de</w:t>
      </w:r>
      <w:r w:rsidR="004268B3" w:rsidRPr="0089592F">
        <w:t xml:space="preserve"> los</w:t>
      </w:r>
      <w:r w:rsidRPr="0089592F">
        <w:t xml:space="preserve"> beneficios </w:t>
      </w:r>
      <w:r w:rsidR="004268B3" w:rsidRPr="0089592F">
        <w:t>en d</w:t>
      </w:r>
      <w:r w:rsidR="004268B3" w:rsidRPr="0089592F">
        <w:rPr>
          <w:rFonts w:eastAsia="Calibri"/>
        </w:rPr>
        <w:t>ólares</w:t>
      </w:r>
      <w:r w:rsidR="006E64BD" w:rsidRPr="0089592F">
        <w:t xml:space="preserve">, </w:t>
      </w:r>
      <w:r w:rsidR="00FE15D8" w:rsidRPr="0089592F">
        <w:t xml:space="preserve">periodo </w:t>
      </w:r>
      <w:r w:rsidR="00BF6C50" w:rsidRPr="0089592F">
        <w:t>20</w:t>
      </w:r>
      <w:r w:rsidR="0085770A" w:rsidRPr="0089592F">
        <w:t>2</w:t>
      </w:r>
      <w:r w:rsidR="003E45C8" w:rsidRPr="0089592F">
        <w:t>2</w:t>
      </w:r>
      <w:r w:rsidR="006E64BD" w:rsidRPr="0089592F">
        <w:t>-202</w:t>
      </w:r>
      <w:r w:rsidR="003E45C8" w:rsidRPr="0089592F">
        <w:t>7</w:t>
      </w:r>
      <w:r w:rsidR="00CC7653" w:rsidRPr="0089592F">
        <w:br/>
      </w:r>
    </w:p>
    <w:tbl>
      <w:tblPr>
        <w:tblStyle w:val="PlainTable2"/>
        <w:tblW w:w="0" w:type="auto"/>
        <w:jc w:val="center"/>
        <w:tblLayout w:type="fixed"/>
        <w:tblLook w:val="04A0" w:firstRow="1" w:lastRow="0" w:firstColumn="1" w:lastColumn="0" w:noHBand="0" w:noVBand="1"/>
      </w:tblPr>
      <w:tblGrid>
        <w:gridCol w:w="1296"/>
        <w:gridCol w:w="1728"/>
        <w:gridCol w:w="1152"/>
        <w:gridCol w:w="1152"/>
        <w:gridCol w:w="1152"/>
        <w:gridCol w:w="1152"/>
      </w:tblGrid>
      <w:tr w:rsidR="00CE4EC4" w:rsidRPr="0089592F" w14:paraId="048262EF" w14:textId="77777777" w:rsidTr="00C014E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Merge w:val="restart"/>
            <w:shd w:val="clear" w:color="auto" w:fill="F2F2F2" w:themeFill="background1" w:themeFillShade="F2"/>
            <w:vAlign w:val="center"/>
          </w:tcPr>
          <w:p w14:paraId="161666C4" w14:textId="02E0ABDA" w:rsidR="00CE4EC4" w:rsidRPr="0089592F" w:rsidRDefault="00CE4EC4" w:rsidP="00D42689">
            <w:pPr>
              <w:keepNext/>
              <w:spacing w:after="100" w:afterAutospacing="1"/>
              <w:jc w:val="center"/>
              <w:rPr>
                <w:rFonts w:ascii="Arial" w:hAnsi="Arial" w:cs="Arial"/>
                <w:color w:val="000000"/>
                <w:sz w:val="16"/>
                <w:szCs w:val="16"/>
              </w:rPr>
            </w:pPr>
            <w:r w:rsidRPr="0089592F">
              <w:rPr>
                <w:rFonts w:ascii="Arial" w:hAnsi="Arial" w:cs="Arial"/>
                <w:color w:val="000000"/>
                <w:sz w:val="16"/>
                <w:szCs w:val="16"/>
              </w:rPr>
              <w:t>Vectores de gradualidad</w:t>
            </w:r>
          </w:p>
        </w:tc>
        <w:tc>
          <w:tcPr>
            <w:tcW w:w="1728" w:type="dxa"/>
            <w:vMerge w:val="restart"/>
            <w:shd w:val="clear" w:color="auto" w:fill="F2F2F2" w:themeFill="background1" w:themeFillShade="F2"/>
            <w:vAlign w:val="center"/>
          </w:tcPr>
          <w:p w14:paraId="747118F5" w14:textId="773E22C7" w:rsidR="00CE4EC4" w:rsidRPr="0089592F" w:rsidRDefault="00CE4EC4" w:rsidP="00D42689">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Escenarios de cobertura efectiva</w:t>
            </w:r>
          </w:p>
        </w:tc>
        <w:tc>
          <w:tcPr>
            <w:tcW w:w="4608" w:type="dxa"/>
            <w:gridSpan w:val="4"/>
            <w:shd w:val="clear" w:color="auto" w:fill="F2F2F2" w:themeFill="background1" w:themeFillShade="F2"/>
            <w:noWrap/>
            <w:vAlign w:val="center"/>
          </w:tcPr>
          <w:p w14:paraId="3525C1A3" w14:textId="02DCB5CD" w:rsidR="00CE4EC4" w:rsidRPr="0089592F" w:rsidRDefault="00CE4EC4" w:rsidP="00D42689">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Tasa de descuento</w:t>
            </w:r>
          </w:p>
        </w:tc>
      </w:tr>
      <w:tr w:rsidR="00CE4EC4" w:rsidRPr="0089592F" w14:paraId="20ACAECE" w14:textId="77777777" w:rsidTr="00CE4EC4">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Merge/>
            <w:shd w:val="clear" w:color="auto" w:fill="F2F2F2" w:themeFill="background1" w:themeFillShade="F2"/>
            <w:vAlign w:val="center"/>
            <w:hideMark/>
          </w:tcPr>
          <w:p w14:paraId="3D5FF27B" w14:textId="77777777" w:rsidR="00CE4EC4" w:rsidRPr="0089592F" w:rsidRDefault="00CE4EC4" w:rsidP="00D42689">
            <w:pPr>
              <w:keepNext/>
              <w:spacing w:after="100" w:afterAutospacing="1"/>
              <w:jc w:val="center"/>
              <w:rPr>
                <w:rFonts w:ascii="Arial" w:hAnsi="Arial" w:cs="Arial"/>
                <w:color w:val="000000"/>
                <w:sz w:val="16"/>
                <w:szCs w:val="16"/>
              </w:rPr>
            </w:pPr>
          </w:p>
        </w:tc>
        <w:tc>
          <w:tcPr>
            <w:tcW w:w="1728" w:type="dxa"/>
            <w:vMerge/>
            <w:shd w:val="clear" w:color="auto" w:fill="F2F2F2" w:themeFill="background1" w:themeFillShade="F2"/>
            <w:vAlign w:val="center"/>
            <w:hideMark/>
          </w:tcPr>
          <w:p w14:paraId="24E62F87" w14:textId="77777777" w:rsidR="00CE4EC4" w:rsidRPr="0089592F" w:rsidRDefault="00CE4EC4" w:rsidP="00D42689">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p>
        </w:tc>
        <w:tc>
          <w:tcPr>
            <w:tcW w:w="1152" w:type="dxa"/>
            <w:shd w:val="clear" w:color="auto" w:fill="F2F2F2" w:themeFill="background1" w:themeFillShade="F2"/>
            <w:noWrap/>
            <w:vAlign w:val="center"/>
            <w:hideMark/>
          </w:tcPr>
          <w:p w14:paraId="2DBA1587" w14:textId="77777777" w:rsidR="00CE4EC4" w:rsidRPr="0089592F" w:rsidRDefault="00CE4EC4" w:rsidP="00D42689">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89592F">
              <w:rPr>
                <w:rFonts w:ascii="Arial" w:hAnsi="Arial" w:cs="Arial"/>
                <w:b/>
                <w:bCs/>
                <w:color w:val="000000"/>
                <w:sz w:val="16"/>
                <w:szCs w:val="16"/>
              </w:rPr>
              <w:t>2%</w:t>
            </w:r>
          </w:p>
        </w:tc>
        <w:tc>
          <w:tcPr>
            <w:tcW w:w="1152" w:type="dxa"/>
            <w:shd w:val="clear" w:color="auto" w:fill="F2F2F2" w:themeFill="background1" w:themeFillShade="F2"/>
            <w:noWrap/>
            <w:vAlign w:val="center"/>
            <w:hideMark/>
          </w:tcPr>
          <w:p w14:paraId="56D89A75" w14:textId="77777777" w:rsidR="00CE4EC4" w:rsidRPr="0089592F" w:rsidRDefault="00CE4EC4" w:rsidP="00D42689">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89592F">
              <w:rPr>
                <w:rFonts w:ascii="Arial" w:hAnsi="Arial" w:cs="Arial"/>
                <w:b/>
                <w:bCs/>
                <w:color w:val="000000"/>
                <w:sz w:val="16"/>
                <w:szCs w:val="16"/>
              </w:rPr>
              <w:t>3%</w:t>
            </w:r>
          </w:p>
        </w:tc>
        <w:tc>
          <w:tcPr>
            <w:tcW w:w="1152" w:type="dxa"/>
            <w:shd w:val="clear" w:color="auto" w:fill="F2F2F2" w:themeFill="background1" w:themeFillShade="F2"/>
            <w:noWrap/>
            <w:vAlign w:val="center"/>
            <w:hideMark/>
          </w:tcPr>
          <w:p w14:paraId="4EAA601B" w14:textId="77777777" w:rsidR="00CE4EC4" w:rsidRPr="0089592F" w:rsidRDefault="00CE4EC4" w:rsidP="00D42689">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89592F">
              <w:rPr>
                <w:rFonts w:ascii="Arial" w:hAnsi="Arial" w:cs="Arial"/>
                <w:b/>
                <w:bCs/>
                <w:color w:val="000000"/>
                <w:sz w:val="16"/>
                <w:szCs w:val="16"/>
              </w:rPr>
              <w:t>6%</w:t>
            </w:r>
          </w:p>
        </w:tc>
        <w:tc>
          <w:tcPr>
            <w:tcW w:w="1152" w:type="dxa"/>
            <w:shd w:val="clear" w:color="auto" w:fill="F2F2F2" w:themeFill="background1" w:themeFillShade="F2"/>
            <w:noWrap/>
            <w:vAlign w:val="center"/>
            <w:hideMark/>
          </w:tcPr>
          <w:p w14:paraId="7935D155" w14:textId="77777777" w:rsidR="00CE4EC4" w:rsidRPr="0089592F" w:rsidRDefault="00CE4EC4" w:rsidP="00D42689">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89592F">
              <w:rPr>
                <w:rFonts w:ascii="Arial" w:hAnsi="Arial" w:cs="Arial"/>
                <w:b/>
                <w:bCs/>
                <w:color w:val="000000"/>
                <w:sz w:val="16"/>
                <w:szCs w:val="16"/>
              </w:rPr>
              <w:t>9%</w:t>
            </w:r>
          </w:p>
        </w:tc>
      </w:tr>
      <w:tr w:rsidR="00713DA2" w:rsidRPr="0089592F" w14:paraId="271BAA98" w14:textId="77777777" w:rsidTr="003E45C8">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1BBAD14E" w14:textId="77777777" w:rsidR="00713DA2" w:rsidRPr="0089592F" w:rsidRDefault="00713DA2" w:rsidP="00713DA2">
            <w:pPr>
              <w:keepNext/>
              <w:spacing w:after="100" w:afterAutospacing="1"/>
              <w:jc w:val="center"/>
              <w:rPr>
                <w:rFonts w:ascii="Arial" w:hAnsi="Arial" w:cs="Arial"/>
                <w:color w:val="000000"/>
                <w:sz w:val="16"/>
                <w:szCs w:val="16"/>
              </w:rPr>
            </w:pPr>
            <w:r w:rsidRPr="0089592F">
              <w:rPr>
                <w:rFonts w:ascii="Arial" w:hAnsi="Arial" w:cs="Arial"/>
                <w:color w:val="000000"/>
                <w:sz w:val="16"/>
                <w:szCs w:val="16"/>
              </w:rPr>
              <w:t>Lento</w:t>
            </w:r>
          </w:p>
        </w:tc>
        <w:tc>
          <w:tcPr>
            <w:tcW w:w="1728" w:type="dxa"/>
            <w:noWrap/>
            <w:vAlign w:val="center"/>
            <w:hideMark/>
          </w:tcPr>
          <w:p w14:paraId="68FC6737" w14:textId="77777777"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Pesimista</w:t>
            </w:r>
          </w:p>
        </w:tc>
        <w:tc>
          <w:tcPr>
            <w:tcW w:w="1152" w:type="dxa"/>
            <w:noWrap/>
            <w:vAlign w:val="center"/>
            <w:hideMark/>
          </w:tcPr>
          <w:p w14:paraId="36108691" w14:textId="449E5D3D"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92,203,129</w:t>
            </w:r>
          </w:p>
        </w:tc>
        <w:tc>
          <w:tcPr>
            <w:tcW w:w="1152" w:type="dxa"/>
            <w:noWrap/>
            <w:vAlign w:val="center"/>
            <w:hideMark/>
          </w:tcPr>
          <w:p w14:paraId="33073D7F" w14:textId="6117BB31"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88,548,967</w:t>
            </w:r>
          </w:p>
        </w:tc>
        <w:tc>
          <w:tcPr>
            <w:tcW w:w="1152" w:type="dxa"/>
            <w:noWrap/>
            <w:vAlign w:val="center"/>
            <w:hideMark/>
          </w:tcPr>
          <w:p w14:paraId="37CEFC4A" w14:textId="38662EC0"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78,651,050</w:t>
            </w:r>
          </w:p>
        </w:tc>
        <w:tc>
          <w:tcPr>
            <w:tcW w:w="1152" w:type="dxa"/>
            <w:noWrap/>
            <w:vAlign w:val="center"/>
            <w:hideMark/>
          </w:tcPr>
          <w:p w14:paraId="1AB183D8" w14:textId="2D018216"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70,138,435</w:t>
            </w:r>
          </w:p>
        </w:tc>
      </w:tr>
      <w:tr w:rsidR="00713DA2" w:rsidRPr="0089592F" w14:paraId="4D516AEF" w14:textId="77777777" w:rsidTr="003E45C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6B6C5ABD" w14:textId="77777777" w:rsidR="00713DA2" w:rsidRPr="0089592F" w:rsidRDefault="00713DA2" w:rsidP="00713DA2">
            <w:pPr>
              <w:keepNext/>
              <w:spacing w:after="100" w:afterAutospacing="1"/>
              <w:jc w:val="center"/>
              <w:rPr>
                <w:rFonts w:ascii="Arial" w:hAnsi="Arial" w:cs="Arial"/>
                <w:color w:val="000000"/>
                <w:sz w:val="16"/>
                <w:szCs w:val="16"/>
              </w:rPr>
            </w:pPr>
          </w:p>
        </w:tc>
        <w:tc>
          <w:tcPr>
            <w:tcW w:w="1728" w:type="dxa"/>
            <w:noWrap/>
            <w:vAlign w:val="center"/>
            <w:hideMark/>
          </w:tcPr>
          <w:p w14:paraId="36E1F67A" w14:textId="77777777"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Medio</w:t>
            </w:r>
          </w:p>
        </w:tc>
        <w:tc>
          <w:tcPr>
            <w:tcW w:w="1152" w:type="dxa"/>
            <w:noWrap/>
            <w:vAlign w:val="center"/>
            <w:hideMark/>
          </w:tcPr>
          <w:p w14:paraId="15B97CDE" w14:textId="44BD168E"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115,253,911</w:t>
            </w:r>
          </w:p>
        </w:tc>
        <w:tc>
          <w:tcPr>
            <w:tcW w:w="1152" w:type="dxa"/>
            <w:noWrap/>
            <w:vAlign w:val="center"/>
            <w:hideMark/>
          </w:tcPr>
          <w:p w14:paraId="07F7FC43" w14:textId="0145FF7C"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110,686,209</w:t>
            </w:r>
          </w:p>
        </w:tc>
        <w:tc>
          <w:tcPr>
            <w:tcW w:w="1152" w:type="dxa"/>
            <w:noWrap/>
            <w:vAlign w:val="center"/>
            <w:hideMark/>
          </w:tcPr>
          <w:p w14:paraId="4F953EE0" w14:textId="06219F7B"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98,313,812</w:t>
            </w:r>
          </w:p>
        </w:tc>
        <w:tc>
          <w:tcPr>
            <w:tcW w:w="1152" w:type="dxa"/>
            <w:noWrap/>
            <w:vAlign w:val="center"/>
            <w:hideMark/>
          </w:tcPr>
          <w:p w14:paraId="2B99FB7B" w14:textId="5825E857"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87,673,043</w:t>
            </w:r>
          </w:p>
        </w:tc>
      </w:tr>
      <w:tr w:rsidR="00713DA2" w:rsidRPr="0089592F" w14:paraId="4C3D9A0F" w14:textId="77777777" w:rsidTr="003E45C8">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47803714" w14:textId="77777777" w:rsidR="00713DA2" w:rsidRPr="0089592F" w:rsidRDefault="00713DA2" w:rsidP="00713DA2">
            <w:pPr>
              <w:keepNext/>
              <w:spacing w:after="100" w:afterAutospacing="1"/>
              <w:jc w:val="center"/>
              <w:rPr>
                <w:rFonts w:ascii="Arial" w:hAnsi="Arial" w:cs="Arial"/>
                <w:color w:val="000000"/>
                <w:sz w:val="16"/>
                <w:szCs w:val="16"/>
              </w:rPr>
            </w:pPr>
          </w:p>
        </w:tc>
        <w:tc>
          <w:tcPr>
            <w:tcW w:w="1728" w:type="dxa"/>
            <w:noWrap/>
            <w:vAlign w:val="center"/>
            <w:hideMark/>
          </w:tcPr>
          <w:p w14:paraId="1CCDD575" w14:textId="77777777"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Optimista</w:t>
            </w:r>
          </w:p>
        </w:tc>
        <w:tc>
          <w:tcPr>
            <w:tcW w:w="1152" w:type="dxa"/>
            <w:noWrap/>
            <w:vAlign w:val="center"/>
            <w:hideMark/>
          </w:tcPr>
          <w:p w14:paraId="1F829F28" w14:textId="18E5DC30"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138,304,694</w:t>
            </w:r>
          </w:p>
        </w:tc>
        <w:tc>
          <w:tcPr>
            <w:tcW w:w="1152" w:type="dxa"/>
            <w:noWrap/>
            <w:vAlign w:val="center"/>
            <w:hideMark/>
          </w:tcPr>
          <w:p w14:paraId="7120771A" w14:textId="4A35A686"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132,823,451</w:t>
            </w:r>
          </w:p>
        </w:tc>
        <w:tc>
          <w:tcPr>
            <w:tcW w:w="1152" w:type="dxa"/>
            <w:noWrap/>
            <w:vAlign w:val="center"/>
            <w:hideMark/>
          </w:tcPr>
          <w:p w14:paraId="05861BC8" w14:textId="1277933C"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117,976,575</w:t>
            </w:r>
          </w:p>
        </w:tc>
        <w:tc>
          <w:tcPr>
            <w:tcW w:w="1152" w:type="dxa"/>
            <w:noWrap/>
            <w:vAlign w:val="center"/>
            <w:hideMark/>
          </w:tcPr>
          <w:p w14:paraId="04E47A89" w14:textId="1EADC6D8"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105,207,652</w:t>
            </w:r>
          </w:p>
        </w:tc>
      </w:tr>
      <w:tr w:rsidR="00713DA2" w:rsidRPr="0089592F" w14:paraId="50188A35" w14:textId="77777777" w:rsidTr="003E45C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724C0571" w14:textId="77777777" w:rsidR="00713DA2" w:rsidRPr="0089592F" w:rsidRDefault="00713DA2" w:rsidP="00713DA2">
            <w:pPr>
              <w:keepNext/>
              <w:spacing w:after="100" w:afterAutospacing="1"/>
              <w:jc w:val="center"/>
              <w:rPr>
                <w:rFonts w:ascii="Arial" w:hAnsi="Arial" w:cs="Arial"/>
                <w:color w:val="000000"/>
                <w:sz w:val="16"/>
                <w:szCs w:val="16"/>
              </w:rPr>
            </w:pPr>
            <w:r w:rsidRPr="0089592F">
              <w:rPr>
                <w:rFonts w:ascii="Arial" w:hAnsi="Arial" w:cs="Arial"/>
                <w:color w:val="000000"/>
                <w:sz w:val="16"/>
                <w:szCs w:val="16"/>
              </w:rPr>
              <w:t>Regular</w:t>
            </w:r>
          </w:p>
        </w:tc>
        <w:tc>
          <w:tcPr>
            <w:tcW w:w="1728" w:type="dxa"/>
            <w:noWrap/>
            <w:vAlign w:val="center"/>
            <w:hideMark/>
          </w:tcPr>
          <w:p w14:paraId="6979B1A4" w14:textId="77777777"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Pesimista</w:t>
            </w:r>
          </w:p>
        </w:tc>
        <w:tc>
          <w:tcPr>
            <w:tcW w:w="1152" w:type="dxa"/>
            <w:noWrap/>
            <w:vAlign w:val="center"/>
            <w:hideMark/>
          </w:tcPr>
          <w:p w14:paraId="7CA0C880" w14:textId="4B27055F"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114,766,921</w:t>
            </w:r>
          </w:p>
        </w:tc>
        <w:tc>
          <w:tcPr>
            <w:tcW w:w="1152" w:type="dxa"/>
            <w:noWrap/>
            <w:vAlign w:val="center"/>
            <w:hideMark/>
          </w:tcPr>
          <w:p w14:paraId="3F38D43B" w14:textId="071E5BA0"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110,347,391</w:t>
            </w:r>
          </w:p>
        </w:tc>
        <w:tc>
          <w:tcPr>
            <w:tcW w:w="1152" w:type="dxa"/>
            <w:noWrap/>
            <w:vAlign w:val="center"/>
            <w:hideMark/>
          </w:tcPr>
          <w:p w14:paraId="0232AD7C" w14:textId="4FC71EFE"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98,357,980</w:t>
            </w:r>
          </w:p>
        </w:tc>
        <w:tc>
          <w:tcPr>
            <w:tcW w:w="1152" w:type="dxa"/>
            <w:noWrap/>
            <w:vAlign w:val="center"/>
            <w:hideMark/>
          </w:tcPr>
          <w:p w14:paraId="6D361D8D" w14:textId="14C557CF"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88,022,269</w:t>
            </w:r>
          </w:p>
        </w:tc>
      </w:tr>
      <w:tr w:rsidR="00713DA2" w:rsidRPr="0089592F" w14:paraId="0FFA58F1" w14:textId="77777777" w:rsidTr="003E45C8">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587AF7E2" w14:textId="77777777" w:rsidR="00713DA2" w:rsidRPr="0089592F" w:rsidRDefault="00713DA2" w:rsidP="00713DA2">
            <w:pPr>
              <w:keepNext/>
              <w:spacing w:after="100" w:afterAutospacing="1"/>
              <w:jc w:val="center"/>
              <w:rPr>
                <w:rFonts w:ascii="Arial" w:hAnsi="Arial" w:cs="Arial"/>
                <w:b w:val="0"/>
                <w:color w:val="000000"/>
                <w:sz w:val="16"/>
                <w:szCs w:val="16"/>
              </w:rPr>
            </w:pPr>
          </w:p>
        </w:tc>
        <w:tc>
          <w:tcPr>
            <w:tcW w:w="1728" w:type="dxa"/>
            <w:noWrap/>
            <w:vAlign w:val="center"/>
            <w:hideMark/>
          </w:tcPr>
          <w:p w14:paraId="008470C6" w14:textId="77777777"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Medio</w:t>
            </w:r>
          </w:p>
        </w:tc>
        <w:tc>
          <w:tcPr>
            <w:tcW w:w="1152" w:type="dxa"/>
            <w:noWrap/>
            <w:vAlign w:val="center"/>
            <w:hideMark/>
          </w:tcPr>
          <w:p w14:paraId="73E6FCF8" w14:textId="62E64A1A"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143,458,652</w:t>
            </w:r>
          </w:p>
        </w:tc>
        <w:tc>
          <w:tcPr>
            <w:tcW w:w="1152" w:type="dxa"/>
            <w:shd w:val="clear" w:color="auto" w:fill="DBE5F1" w:themeFill="accent1" w:themeFillTint="33"/>
            <w:noWrap/>
            <w:vAlign w:val="center"/>
            <w:hideMark/>
          </w:tcPr>
          <w:p w14:paraId="7F83BA44" w14:textId="4F3B30B5"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89592F">
              <w:rPr>
                <w:rFonts w:ascii="Arial" w:hAnsi="Arial" w:cs="Arial"/>
                <w:color w:val="000000"/>
                <w:sz w:val="16"/>
                <w:szCs w:val="16"/>
              </w:rPr>
              <w:t>137,934,239</w:t>
            </w:r>
          </w:p>
        </w:tc>
        <w:tc>
          <w:tcPr>
            <w:tcW w:w="1152" w:type="dxa"/>
            <w:noWrap/>
            <w:vAlign w:val="center"/>
            <w:hideMark/>
          </w:tcPr>
          <w:p w14:paraId="7B8DB7F6" w14:textId="1F4880BD"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122,947,475</w:t>
            </w:r>
          </w:p>
        </w:tc>
        <w:tc>
          <w:tcPr>
            <w:tcW w:w="1152" w:type="dxa"/>
            <w:noWrap/>
            <w:vAlign w:val="center"/>
            <w:hideMark/>
          </w:tcPr>
          <w:p w14:paraId="06D762EA" w14:textId="284F271C"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110,027,837</w:t>
            </w:r>
          </w:p>
        </w:tc>
      </w:tr>
      <w:tr w:rsidR="00713DA2" w:rsidRPr="0089592F" w14:paraId="42609F29" w14:textId="77777777" w:rsidTr="003E45C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1232D64B" w14:textId="77777777" w:rsidR="00713DA2" w:rsidRPr="0089592F" w:rsidRDefault="00713DA2" w:rsidP="00713DA2">
            <w:pPr>
              <w:keepNext/>
              <w:spacing w:after="100" w:afterAutospacing="1"/>
              <w:jc w:val="center"/>
              <w:rPr>
                <w:rFonts w:ascii="Arial" w:hAnsi="Arial" w:cs="Arial"/>
                <w:color w:val="000000"/>
                <w:sz w:val="16"/>
                <w:szCs w:val="16"/>
              </w:rPr>
            </w:pPr>
          </w:p>
        </w:tc>
        <w:tc>
          <w:tcPr>
            <w:tcW w:w="1728" w:type="dxa"/>
            <w:noWrap/>
            <w:vAlign w:val="center"/>
            <w:hideMark/>
          </w:tcPr>
          <w:p w14:paraId="4353AC53" w14:textId="77777777"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Optimista</w:t>
            </w:r>
          </w:p>
        </w:tc>
        <w:tc>
          <w:tcPr>
            <w:tcW w:w="1152" w:type="dxa"/>
            <w:noWrap/>
            <w:vAlign w:val="center"/>
            <w:hideMark/>
          </w:tcPr>
          <w:p w14:paraId="7C06C504" w14:textId="24F796C9"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172,150,382</w:t>
            </w:r>
          </w:p>
        </w:tc>
        <w:tc>
          <w:tcPr>
            <w:tcW w:w="1152" w:type="dxa"/>
            <w:noWrap/>
            <w:vAlign w:val="center"/>
            <w:hideMark/>
          </w:tcPr>
          <w:p w14:paraId="2AC114A1" w14:textId="0F9DE292"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165,521,087</w:t>
            </w:r>
          </w:p>
        </w:tc>
        <w:tc>
          <w:tcPr>
            <w:tcW w:w="1152" w:type="dxa"/>
            <w:noWrap/>
            <w:vAlign w:val="center"/>
            <w:hideMark/>
          </w:tcPr>
          <w:p w14:paraId="4C4126CD" w14:textId="09509170"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147,536,970</w:t>
            </w:r>
          </w:p>
        </w:tc>
        <w:tc>
          <w:tcPr>
            <w:tcW w:w="1152" w:type="dxa"/>
            <w:noWrap/>
            <w:vAlign w:val="center"/>
            <w:hideMark/>
          </w:tcPr>
          <w:p w14:paraId="7A7A56CB" w14:textId="52546157"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132,033,404</w:t>
            </w:r>
          </w:p>
        </w:tc>
      </w:tr>
      <w:tr w:rsidR="00713DA2" w:rsidRPr="0089592F" w14:paraId="47167670" w14:textId="77777777" w:rsidTr="003E45C8">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0FC6B3A6" w14:textId="77777777" w:rsidR="00713DA2" w:rsidRPr="0089592F" w:rsidRDefault="00713DA2" w:rsidP="00713DA2">
            <w:pPr>
              <w:keepNext/>
              <w:spacing w:after="100" w:afterAutospacing="1"/>
              <w:jc w:val="center"/>
              <w:rPr>
                <w:rFonts w:ascii="Arial" w:hAnsi="Arial" w:cs="Arial"/>
                <w:color w:val="000000"/>
                <w:sz w:val="16"/>
                <w:szCs w:val="16"/>
              </w:rPr>
            </w:pPr>
            <w:r w:rsidRPr="0089592F">
              <w:rPr>
                <w:rFonts w:ascii="Arial" w:hAnsi="Arial" w:cs="Arial"/>
                <w:color w:val="000000"/>
                <w:sz w:val="16"/>
                <w:szCs w:val="16"/>
              </w:rPr>
              <w:t>Rápido</w:t>
            </w:r>
          </w:p>
        </w:tc>
        <w:tc>
          <w:tcPr>
            <w:tcW w:w="1728" w:type="dxa"/>
            <w:noWrap/>
            <w:vAlign w:val="center"/>
            <w:hideMark/>
          </w:tcPr>
          <w:p w14:paraId="54E6B348" w14:textId="77777777"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Pesimista</w:t>
            </w:r>
          </w:p>
        </w:tc>
        <w:tc>
          <w:tcPr>
            <w:tcW w:w="1152" w:type="dxa"/>
            <w:noWrap/>
            <w:vAlign w:val="center"/>
            <w:hideMark/>
          </w:tcPr>
          <w:p w14:paraId="3178B20A" w14:textId="19A18C43"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171,859,376</w:t>
            </w:r>
          </w:p>
        </w:tc>
        <w:tc>
          <w:tcPr>
            <w:tcW w:w="1152" w:type="dxa"/>
            <w:noWrap/>
            <w:vAlign w:val="center"/>
            <w:hideMark/>
          </w:tcPr>
          <w:p w14:paraId="7E52FE26" w14:textId="2C5365B8"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165,348,547</w:t>
            </w:r>
          </w:p>
        </w:tc>
        <w:tc>
          <w:tcPr>
            <w:tcW w:w="1152" w:type="dxa"/>
            <w:noWrap/>
            <w:vAlign w:val="center"/>
            <w:hideMark/>
          </w:tcPr>
          <w:p w14:paraId="50ECF3CF" w14:textId="2EEA424A"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147,664,674</w:t>
            </w:r>
          </w:p>
        </w:tc>
        <w:tc>
          <w:tcPr>
            <w:tcW w:w="1152" w:type="dxa"/>
            <w:noWrap/>
            <w:vAlign w:val="center"/>
            <w:hideMark/>
          </w:tcPr>
          <w:p w14:paraId="2D523DB8" w14:textId="02B5FFD6"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132,392,467</w:t>
            </w:r>
          </w:p>
        </w:tc>
      </w:tr>
      <w:tr w:rsidR="00713DA2" w:rsidRPr="0089592F" w14:paraId="40F2C8D4" w14:textId="77777777" w:rsidTr="003E45C8">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43CA822D" w14:textId="77777777" w:rsidR="00713DA2" w:rsidRPr="0089592F" w:rsidRDefault="00713DA2" w:rsidP="00713DA2">
            <w:pPr>
              <w:keepNext/>
              <w:spacing w:after="100" w:afterAutospacing="1"/>
              <w:jc w:val="center"/>
              <w:rPr>
                <w:rFonts w:ascii="Arial" w:hAnsi="Arial" w:cs="Arial"/>
                <w:color w:val="000000"/>
                <w:sz w:val="16"/>
                <w:szCs w:val="16"/>
              </w:rPr>
            </w:pPr>
          </w:p>
        </w:tc>
        <w:tc>
          <w:tcPr>
            <w:tcW w:w="1728" w:type="dxa"/>
            <w:noWrap/>
            <w:vAlign w:val="center"/>
            <w:hideMark/>
          </w:tcPr>
          <w:p w14:paraId="4AF0C9DF" w14:textId="77777777"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Medio</w:t>
            </w:r>
          </w:p>
        </w:tc>
        <w:tc>
          <w:tcPr>
            <w:tcW w:w="1152" w:type="dxa"/>
            <w:noWrap/>
            <w:vAlign w:val="center"/>
            <w:hideMark/>
          </w:tcPr>
          <w:p w14:paraId="127D3B78" w14:textId="608AE953"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214,824,219</w:t>
            </w:r>
          </w:p>
        </w:tc>
        <w:tc>
          <w:tcPr>
            <w:tcW w:w="1152" w:type="dxa"/>
            <w:noWrap/>
            <w:vAlign w:val="center"/>
            <w:hideMark/>
          </w:tcPr>
          <w:p w14:paraId="695F1AB2" w14:textId="689B9D6E"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206,685,683</w:t>
            </w:r>
          </w:p>
        </w:tc>
        <w:tc>
          <w:tcPr>
            <w:tcW w:w="1152" w:type="dxa"/>
            <w:noWrap/>
            <w:vAlign w:val="center"/>
            <w:hideMark/>
          </w:tcPr>
          <w:p w14:paraId="00901009" w14:textId="7D179020"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184,580,843</w:t>
            </w:r>
          </w:p>
        </w:tc>
        <w:tc>
          <w:tcPr>
            <w:tcW w:w="1152" w:type="dxa"/>
            <w:noWrap/>
            <w:vAlign w:val="center"/>
            <w:hideMark/>
          </w:tcPr>
          <w:p w14:paraId="31C3D5EE" w14:textId="208451FA" w:rsidR="00713DA2" w:rsidRPr="0089592F" w:rsidRDefault="00713DA2" w:rsidP="00713DA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165,490,584</w:t>
            </w:r>
          </w:p>
        </w:tc>
      </w:tr>
      <w:tr w:rsidR="00713DA2" w:rsidRPr="0089592F" w14:paraId="5B992733" w14:textId="77777777" w:rsidTr="003E45C8">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3D0F494A" w14:textId="77777777" w:rsidR="00713DA2" w:rsidRPr="0089592F" w:rsidRDefault="00713DA2" w:rsidP="00713DA2">
            <w:pPr>
              <w:keepNext/>
              <w:spacing w:after="100" w:afterAutospacing="1"/>
              <w:jc w:val="center"/>
              <w:rPr>
                <w:rFonts w:ascii="Arial" w:hAnsi="Arial" w:cs="Arial"/>
                <w:color w:val="000000"/>
                <w:sz w:val="16"/>
                <w:szCs w:val="16"/>
              </w:rPr>
            </w:pPr>
          </w:p>
        </w:tc>
        <w:tc>
          <w:tcPr>
            <w:tcW w:w="1728" w:type="dxa"/>
            <w:noWrap/>
            <w:vAlign w:val="center"/>
            <w:hideMark/>
          </w:tcPr>
          <w:p w14:paraId="0E7B7CFE" w14:textId="77777777" w:rsidR="00713DA2" w:rsidRPr="0089592F" w:rsidRDefault="00713DA2" w:rsidP="00713DA2">
            <w:pPr>
              <w:keepNext/>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Optimista</w:t>
            </w:r>
          </w:p>
        </w:tc>
        <w:tc>
          <w:tcPr>
            <w:tcW w:w="1152" w:type="dxa"/>
            <w:noWrap/>
            <w:vAlign w:val="center"/>
            <w:hideMark/>
          </w:tcPr>
          <w:p w14:paraId="3276DF56" w14:textId="165AA37B"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257,789,063</w:t>
            </w:r>
          </w:p>
        </w:tc>
        <w:tc>
          <w:tcPr>
            <w:tcW w:w="1152" w:type="dxa"/>
            <w:noWrap/>
            <w:vAlign w:val="center"/>
            <w:hideMark/>
          </w:tcPr>
          <w:p w14:paraId="1562AF86" w14:textId="2AF79429"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248,022,820</w:t>
            </w:r>
          </w:p>
        </w:tc>
        <w:tc>
          <w:tcPr>
            <w:tcW w:w="1152" w:type="dxa"/>
            <w:noWrap/>
            <w:vAlign w:val="center"/>
            <w:hideMark/>
          </w:tcPr>
          <w:p w14:paraId="05F473E3" w14:textId="30CCB61A"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221,497,011</w:t>
            </w:r>
          </w:p>
        </w:tc>
        <w:tc>
          <w:tcPr>
            <w:tcW w:w="1152" w:type="dxa"/>
            <w:noWrap/>
            <w:vAlign w:val="center"/>
            <w:hideMark/>
          </w:tcPr>
          <w:p w14:paraId="0E0E7487" w14:textId="29BCC9E6" w:rsidR="00713DA2" w:rsidRPr="0089592F" w:rsidRDefault="00713DA2" w:rsidP="00713DA2">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9592F">
              <w:rPr>
                <w:rFonts w:ascii="Arial" w:hAnsi="Arial" w:cs="Arial"/>
                <w:color w:val="000000"/>
                <w:sz w:val="16"/>
                <w:szCs w:val="16"/>
              </w:rPr>
              <w:t>198,588,701</w:t>
            </w:r>
          </w:p>
        </w:tc>
      </w:tr>
    </w:tbl>
    <w:p w14:paraId="1D81A64C" w14:textId="4C5382AB" w:rsidR="005F6C33" w:rsidRPr="0089592F" w:rsidRDefault="00D42689" w:rsidP="00D42689">
      <w:pPr>
        <w:keepNext/>
        <w:autoSpaceDE w:val="0"/>
        <w:autoSpaceDN w:val="0"/>
        <w:adjustRightInd w:val="0"/>
        <w:spacing w:after="100" w:afterAutospacing="1"/>
        <w:jc w:val="center"/>
        <w:rPr>
          <w:rFonts w:ascii="Arial" w:hAnsi="Arial" w:cs="Arial"/>
          <w:sz w:val="18"/>
          <w:szCs w:val="16"/>
        </w:rPr>
      </w:pPr>
      <w:r w:rsidRPr="0089592F">
        <w:rPr>
          <w:rFonts w:ascii="Arial" w:hAnsi="Arial" w:cs="Arial"/>
          <w:sz w:val="18"/>
          <w:szCs w:val="16"/>
        </w:rPr>
        <w:br/>
      </w:r>
      <w:r w:rsidR="005F6C33" w:rsidRPr="0089592F">
        <w:rPr>
          <w:rFonts w:ascii="Arial" w:hAnsi="Arial" w:cs="Arial"/>
          <w:sz w:val="18"/>
          <w:szCs w:val="16"/>
        </w:rPr>
        <w:t>Fuente: Elaboración de los autores.</w:t>
      </w:r>
    </w:p>
    <w:p w14:paraId="74BA70E7" w14:textId="0114645C" w:rsidR="005E4A14" w:rsidRPr="0089592F" w:rsidRDefault="007657D8" w:rsidP="001025F1">
      <w:pPr>
        <w:autoSpaceDE w:val="0"/>
        <w:autoSpaceDN w:val="0"/>
        <w:adjustRightInd w:val="0"/>
        <w:spacing w:before="120" w:after="100" w:afterAutospacing="1"/>
        <w:jc w:val="both"/>
        <w:rPr>
          <w:rFonts w:ascii="Arial" w:hAnsi="Arial" w:cs="Arial"/>
          <w:sz w:val="22"/>
          <w:szCs w:val="22"/>
        </w:rPr>
      </w:pPr>
      <w:r w:rsidRPr="0089592F">
        <w:rPr>
          <w:rFonts w:ascii="Arial" w:hAnsi="Arial" w:cs="Arial"/>
          <w:sz w:val="22"/>
          <w:szCs w:val="22"/>
        </w:rPr>
        <w:t>Considerando</w:t>
      </w:r>
      <w:r w:rsidR="006F4482" w:rsidRPr="0089592F">
        <w:rPr>
          <w:rFonts w:ascii="Arial" w:hAnsi="Arial" w:cs="Arial"/>
          <w:sz w:val="22"/>
          <w:szCs w:val="22"/>
        </w:rPr>
        <w:t xml:space="preserve"> el escenario más realista; es decir </w:t>
      </w:r>
      <w:r w:rsidR="00257C99" w:rsidRPr="0089592F">
        <w:rPr>
          <w:rFonts w:ascii="Arial" w:hAnsi="Arial" w:cs="Arial"/>
          <w:sz w:val="22"/>
          <w:szCs w:val="22"/>
        </w:rPr>
        <w:t>donde</w:t>
      </w:r>
      <w:r w:rsidR="006F4482" w:rsidRPr="0089592F">
        <w:rPr>
          <w:rFonts w:ascii="Arial" w:hAnsi="Arial" w:cs="Arial"/>
          <w:sz w:val="22"/>
          <w:szCs w:val="22"/>
        </w:rPr>
        <w:t xml:space="preserve"> los beneficios graduales se presentan en forma regular y se alcanza un factor marginal de efectividad medio; los beneficios esperados del </w:t>
      </w:r>
      <w:r w:rsidR="00FA0D82" w:rsidRPr="0089592F">
        <w:rPr>
          <w:rFonts w:ascii="Arial" w:hAnsi="Arial" w:cs="Arial"/>
          <w:sz w:val="22"/>
          <w:szCs w:val="22"/>
        </w:rPr>
        <w:t>programa</w:t>
      </w:r>
      <w:r w:rsidR="006F4482" w:rsidRPr="0089592F">
        <w:rPr>
          <w:rFonts w:ascii="Arial" w:hAnsi="Arial" w:cs="Arial"/>
          <w:sz w:val="22"/>
          <w:szCs w:val="22"/>
        </w:rPr>
        <w:t xml:space="preserve"> en cinco años ascienden a US$</w:t>
      </w:r>
      <w:r w:rsidR="00DC43A9" w:rsidRPr="0089592F">
        <w:rPr>
          <w:rFonts w:ascii="Arial" w:hAnsi="Arial" w:cs="Arial"/>
          <w:sz w:val="22"/>
          <w:szCs w:val="22"/>
        </w:rPr>
        <w:t>137.934.239</w:t>
      </w:r>
      <w:r w:rsidR="006F4482" w:rsidRPr="0089592F">
        <w:rPr>
          <w:rFonts w:ascii="Arial" w:hAnsi="Arial" w:cs="Arial"/>
          <w:sz w:val="22"/>
          <w:szCs w:val="22"/>
        </w:rPr>
        <w:t>. El análisis de sensi</w:t>
      </w:r>
      <w:r w:rsidR="00363CDC" w:rsidRPr="0089592F">
        <w:rPr>
          <w:rFonts w:ascii="Arial" w:hAnsi="Arial" w:cs="Arial"/>
          <w:sz w:val="22"/>
          <w:szCs w:val="22"/>
        </w:rPr>
        <w:t xml:space="preserve">bilidad presentado en la Tabla </w:t>
      </w:r>
      <w:r w:rsidR="006141BB" w:rsidRPr="0089592F">
        <w:rPr>
          <w:rFonts w:ascii="Arial" w:hAnsi="Arial" w:cs="Arial"/>
          <w:sz w:val="22"/>
          <w:szCs w:val="22"/>
        </w:rPr>
        <w:t>5</w:t>
      </w:r>
      <w:r w:rsidR="00113B13" w:rsidRPr="0089592F">
        <w:rPr>
          <w:rFonts w:ascii="Arial" w:hAnsi="Arial" w:cs="Arial"/>
          <w:sz w:val="22"/>
          <w:szCs w:val="22"/>
        </w:rPr>
        <w:t xml:space="preserve"> </w:t>
      </w:r>
      <w:r w:rsidR="006F4482" w:rsidRPr="0089592F">
        <w:rPr>
          <w:rFonts w:ascii="Arial" w:hAnsi="Arial" w:cs="Arial"/>
          <w:sz w:val="22"/>
          <w:szCs w:val="22"/>
        </w:rPr>
        <w:t>muestra que los</w:t>
      </w:r>
      <w:r w:rsidR="00A90B29" w:rsidRPr="0089592F">
        <w:rPr>
          <w:rFonts w:ascii="Arial" w:hAnsi="Arial" w:cs="Arial"/>
          <w:sz w:val="22"/>
          <w:szCs w:val="22"/>
        </w:rPr>
        <w:t xml:space="preserve"> beneficios oscilan entre </w:t>
      </w:r>
      <w:r w:rsidR="00C96FC1" w:rsidRPr="0089592F">
        <w:rPr>
          <w:rFonts w:ascii="Arial" w:hAnsi="Arial" w:cs="Arial"/>
          <w:sz w:val="22"/>
          <w:szCs w:val="22"/>
        </w:rPr>
        <w:t>US$</w:t>
      </w:r>
      <w:r w:rsidR="00DC43A9" w:rsidRPr="0089592F">
        <w:rPr>
          <w:rFonts w:ascii="Arial" w:hAnsi="Arial" w:cs="Arial"/>
          <w:sz w:val="22"/>
          <w:szCs w:val="22"/>
        </w:rPr>
        <w:t>70</w:t>
      </w:r>
      <w:r w:rsidR="00407DC6" w:rsidRPr="0089592F">
        <w:rPr>
          <w:rFonts w:ascii="Arial" w:hAnsi="Arial" w:cs="Arial"/>
          <w:sz w:val="22"/>
          <w:szCs w:val="22"/>
        </w:rPr>
        <w:t xml:space="preserve"> </w:t>
      </w:r>
      <w:r w:rsidR="006F4482" w:rsidRPr="0089592F">
        <w:rPr>
          <w:rFonts w:ascii="Arial" w:hAnsi="Arial" w:cs="Arial"/>
          <w:sz w:val="22"/>
          <w:szCs w:val="22"/>
        </w:rPr>
        <w:t xml:space="preserve">millones </w:t>
      </w:r>
      <w:r w:rsidR="00A90B29" w:rsidRPr="0089592F">
        <w:rPr>
          <w:rFonts w:ascii="Arial" w:hAnsi="Arial" w:cs="Arial"/>
          <w:sz w:val="22"/>
          <w:szCs w:val="22"/>
        </w:rPr>
        <w:t xml:space="preserve">de dólares </w:t>
      </w:r>
      <w:r w:rsidR="006F4482" w:rsidRPr="0089592F">
        <w:rPr>
          <w:rFonts w:ascii="Arial" w:hAnsi="Arial" w:cs="Arial"/>
          <w:sz w:val="22"/>
          <w:szCs w:val="22"/>
        </w:rPr>
        <w:t xml:space="preserve">en los escenarios más negativos y con una </w:t>
      </w:r>
      <w:r w:rsidR="00363CDC" w:rsidRPr="0089592F">
        <w:rPr>
          <w:rFonts w:ascii="Arial" w:hAnsi="Arial" w:cs="Arial"/>
          <w:sz w:val="22"/>
          <w:szCs w:val="22"/>
        </w:rPr>
        <w:t>tasa de descuento de 9% y US$</w:t>
      </w:r>
      <w:r w:rsidR="00DC43A9" w:rsidRPr="0089592F">
        <w:rPr>
          <w:rFonts w:ascii="Arial" w:hAnsi="Arial" w:cs="Arial"/>
          <w:sz w:val="22"/>
          <w:szCs w:val="22"/>
        </w:rPr>
        <w:t>257</w:t>
      </w:r>
      <w:r w:rsidR="00874103" w:rsidRPr="0089592F">
        <w:rPr>
          <w:rFonts w:ascii="Arial" w:hAnsi="Arial" w:cs="Arial"/>
          <w:sz w:val="22"/>
          <w:szCs w:val="22"/>
        </w:rPr>
        <w:t xml:space="preserve"> </w:t>
      </w:r>
      <w:r w:rsidR="006F4482" w:rsidRPr="0089592F">
        <w:rPr>
          <w:rFonts w:ascii="Arial" w:hAnsi="Arial" w:cs="Arial"/>
          <w:sz w:val="22"/>
          <w:szCs w:val="22"/>
        </w:rPr>
        <w:t>millones de dólares en el escenario más optimista con una tasa de descuento de 2%.</w:t>
      </w:r>
    </w:p>
    <w:p w14:paraId="592CDC6F" w14:textId="236EB925" w:rsidR="00CC7653" w:rsidRDefault="006E64BD" w:rsidP="00CC7653">
      <w:pPr>
        <w:pStyle w:val="Caption"/>
      </w:pPr>
      <w:r w:rsidRPr="0089592F">
        <w:t xml:space="preserve">Tabla </w:t>
      </w:r>
      <w:r w:rsidR="00AA3C84" w:rsidRPr="0089592F">
        <w:fldChar w:fldCharType="begin"/>
      </w:r>
      <w:r w:rsidR="00AA3C84" w:rsidRPr="0089592F">
        <w:instrText xml:space="preserve"> SEQ Tabla \* ARABIC </w:instrText>
      </w:r>
      <w:r w:rsidR="00AA3C84" w:rsidRPr="0089592F">
        <w:fldChar w:fldCharType="separate"/>
      </w:r>
      <w:r w:rsidR="00987350" w:rsidRPr="0089592F">
        <w:rPr>
          <w:noProof/>
        </w:rPr>
        <w:t>6</w:t>
      </w:r>
      <w:r w:rsidR="00AA3C84" w:rsidRPr="0089592F">
        <w:fldChar w:fldCharType="end"/>
      </w:r>
      <w:r w:rsidRPr="0089592F">
        <w:t>. An</w:t>
      </w:r>
      <w:r w:rsidRPr="0089592F">
        <w:rPr>
          <w:rFonts w:eastAsia="Calibri"/>
        </w:rPr>
        <w:t>álisis</w:t>
      </w:r>
      <w:r w:rsidRPr="0089592F">
        <w:t xml:space="preserve"> </w:t>
      </w:r>
      <w:r w:rsidRPr="0089592F">
        <w:rPr>
          <w:rFonts w:eastAsia="Calibri"/>
        </w:rPr>
        <w:t>de</w:t>
      </w:r>
      <w:r w:rsidRPr="0089592F">
        <w:t xml:space="preserve"> </w:t>
      </w:r>
      <w:r w:rsidRPr="0089592F">
        <w:rPr>
          <w:rFonts w:eastAsia="Calibri"/>
        </w:rPr>
        <w:t>sensibilidad</w:t>
      </w:r>
      <w:r w:rsidRPr="0089592F">
        <w:t xml:space="preserve"> de los beneficios en d</w:t>
      </w:r>
      <w:r w:rsidRPr="0089592F">
        <w:rPr>
          <w:rFonts w:eastAsia="Calibri"/>
        </w:rPr>
        <w:t>ólares</w:t>
      </w:r>
      <w:r w:rsidRPr="0089592F">
        <w:t xml:space="preserve">, </w:t>
      </w:r>
      <w:r w:rsidR="00FE15D8" w:rsidRPr="0089592F">
        <w:t xml:space="preserve">periodo </w:t>
      </w:r>
      <w:r w:rsidR="00C96FC1" w:rsidRPr="0089592F">
        <w:t>20</w:t>
      </w:r>
      <w:r w:rsidR="0085770A" w:rsidRPr="0089592F">
        <w:t>2</w:t>
      </w:r>
      <w:r w:rsidR="00A33B18" w:rsidRPr="0089592F">
        <w:t>2</w:t>
      </w:r>
      <w:r w:rsidR="006F4482" w:rsidRPr="0089592F">
        <w:t>-20</w:t>
      </w:r>
      <w:r w:rsidR="0085770A" w:rsidRPr="0089592F">
        <w:t>3</w:t>
      </w:r>
      <w:r w:rsidR="00A33B18" w:rsidRPr="0089592F">
        <w:t>2</w:t>
      </w:r>
    </w:p>
    <w:p w14:paraId="0E6A695B" w14:textId="77777777" w:rsidR="00D420A4" w:rsidRPr="00D420A4" w:rsidRDefault="00D420A4" w:rsidP="00D420A4">
      <w:pPr>
        <w:rPr>
          <w:lang w:val="es-ES_tradnl"/>
        </w:rPr>
      </w:pPr>
    </w:p>
    <w:tbl>
      <w:tblPr>
        <w:tblStyle w:val="PlainTable2"/>
        <w:tblW w:w="0" w:type="auto"/>
        <w:jc w:val="center"/>
        <w:tblLayout w:type="fixed"/>
        <w:tblLook w:val="04A0" w:firstRow="1" w:lastRow="0" w:firstColumn="1" w:lastColumn="0" w:noHBand="0" w:noVBand="1"/>
      </w:tblPr>
      <w:tblGrid>
        <w:gridCol w:w="1296"/>
        <w:gridCol w:w="1728"/>
        <w:gridCol w:w="1296"/>
        <w:gridCol w:w="1260"/>
        <w:gridCol w:w="1152"/>
        <w:gridCol w:w="1155"/>
      </w:tblGrid>
      <w:tr w:rsidR="00CC7653" w:rsidRPr="00D420A4" w14:paraId="07135700" w14:textId="77777777" w:rsidTr="00D420A4">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Merge w:val="restart"/>
            <w:shd w:val="clear" w:color="auto" w:fill="F2F2F2" w:themeFill="background1" w:themeFillShade="F2"/>
            <w:vAlign w:val="center"/>
          </w:tcPr>
          <w:p w14:paraId="13D064C4" w14:textId="77777777" w:rsidR="00CC7653" w:rsidRPr="00D420A4" w:rsidRDefault="00CC7653" w:rsidP="00C014EC">
            <w:pPr>
              <w:keepNext/>
              <w:spacing w:after="100" w:afterAutospacing="1"/>
              <w:jc w:val="center"/>
              <w:rPr>
                <w:rFonts w:ascii="Arial" w:hAnsi="Arial" w:cs="Arial"/>
                <w:color w:val="000000"/>
                <w:sz w:val="16"/>
                <w:szCs w:val="16"/>
              </w:rPr>
            </w:pPr>
            <w:r w:rsidRPr="00D420A4">
              <w:rPr>
                <w:rFonts w:ascii="Arial" w:hAnsi="Arial" w:cs="Arial"/>
                <w:color w:val="000000"/>
                <w:sz w:val="16"/>
                <w:szCs w:val="16"/>
              </w:rPr>
              <w:t>Vectores de gradualidad</w:t>
            </w:r>
          </w:p>
        </w:tc>
        <w:tc>
          <w:tcPr>
            <w:tcW w:w="1728" w:type="dxa"/>
            <w:vMerge w:val="restart"/>
            <w:shd w:val="clear" w:color="auto" w:fill="F2F2F2" w:themeFill="background1" w:themeFillShade="F2"/>
            <w:vAlign w:val="center"/>
          </w:tcPr>
          <w:p w14:paraId="3CB66DDF" w14:textId="77777777" w:rsidR="00CC7653" w:rsidRPr="00D420A4" w:rsidRDefault="00CC7653" w:rsidP="00C014EC">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Escenarios de cobertura efectiva</w:t>
            </w:r>
          </w:p>
        </w:tc>
        <w:tc>
          <w:tcPr>
            <w:tcW w:w="4863" w:type="dxa"/>
            <w:gridSpan w:val="4"/>
            <w:shd w:val="clear" w:color="auto" w:fill="F2F2F2" w:themeFill="background1" w:themeFillShade="F2"/>
            <w:noWrap/>
            <w:vAlign w:val="center"/>
          </w:tcPr>
          <w:p w14:paraId="3DA1E678" w14:textId="77777777" w:rsidR="00CC7653" w:rsidRPr="00D420A4" w:rsidRDefault="00CC7653" w:rsidP="00C014EC">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Tasa de descuento</w:t>
            </w:r>
          </w:p>
        </w:tc>
      </w:tr>
      <w:tr w:rsidR="00CC7653" w:rsidRPr="00D420A4" w14:paraId="3C8C755A" w14:textId="77777777" w:rsidTr="00436A07">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Merge/>
            <w:shd w:val="clear" w:color="auto" w:fill="F2F2F2" w:themeFill="background1" w:themeFillShade="F2"/>
            <w:vAlign w:val="center"/>
            <w:hideMark/>
          </w:tcPr>
          <w:p w14:paraId="0BFD4078" w14:textId="77777777" w:rsidR="00CC7653" w:rsidRPr="00D420A4" w:rsidRDefault="00CC7653" w:rsidP="00C014EC">
            <w:pPr>
              <w:keepNext/>
              <w:spacing w:after="100" w:afterAutospacing="1"/>
              <w:jc w:val="center"/>
              <w:rPr>
                <w:rFonts w:ascii="Arial" w:hAnsi="Arial" w:cs="Arial"/>
                <w:color w:val="000000"/>
                <w:sz w:val="16"/>
                <w:szCs w:val="16"/>
              </w:rPr>
            </w:pPr>
          </w:p>
        </w:tc>
        <w:tc>
          <w:tcPr>
            <w:tcW w:w="1728" w:type="dxa"/>
            <w:vMerge/>
            <w:shd w:val="clear" w:color="auto" w:fill="F2F2F2" w:themeFill="background1" w:themeFillShade="F2"/>
            <w:vAlign w:val="center"/>
            <w:hideMark/>
          </w:tcPr>
          <w:p w14:paraId="0D9EE82E" w14:textId="77777777" w:rsidR="00CC7653" w:rsidRPr="00D420A4" w:rsidRDefault="00CC7653"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p>
        </w:tc>
        <w:tc>
          <w:tcPr>
            <w:tcW w:w="1296" w:type="dxa"/>
            <w:shd w:val="clear" w:color="auto" w:fill="F2F2F2" w:themeFill="background1" w:themeFillShade="F2"/>
            <w:noWrap/>
            <w:vAlign w:val="center"/>
            <w:hideMark/>
          </w:tcPr>
          <w:p w14:paraId="243DE31C" w14:textId="77777777" w:rsidR="00CC7653" w:rsidRPr="00D420A4" w:rsidRDefault="00CC7653"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D420A4">
              <w:rPr>
                <w:rFonts w:ascii="Arial" w:hAnsi="Arial" w:cs="Arial"/>
                <w:b/>
                <w:bCs/>
                <w:color w:val="000000"/>
                <w:sz w:val="16"/>
                <w:szCs w:val="16"/>
              </w:rPr>
              <w:t>2%</w:t>
            </w:r>
          </w:p>
        </w:tc>
        <w:tc>
          <w:tcPr>
            <w:tcW w:w="1260" w:type="dxa"/>
            <w:shd w:val="clear" w:color="auto" w:fill="F2F2F2" w:themeFill="background1" w:themeFillShade="F2"/>
            <w:noWrap/>
            <w:vAlign w:val="center"/>
            <w:hideMark/>
          </w:tcPr>
          <w:p w14:paraId="753E7E10" w14:textId="77777777" w:rsidR="00CC7653" w:rsidRPr="00D420A4" w:rsidRDefault="00CC7653"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D420A4">
              <w:rPr>
                <w:rFonts w:ascii="Arial" w:hAnsi="Arial" w:cs="Arial"/>
                <w:b/>
                <w:bCs/>
                <w:color w:val="000000"/>
                <w:sz w:val="16"/>
                <w:szCs w:val="16"/>
              </w:rPr>
              <w:t>3%</w:t>
            </w:r>
          </w:p>
        </w:tc>
        <w:tc>
          <w:tcPr>
            <w:tcW w:w="1152" w:type="dxa"/>
            <w:shd w:val="clear" w:color="auto" w:fill="F2F2F2" w:themeFill="background1" w:themeFillShade="F2"/>
            <w:noWrap/>
            <w:vAlign w:val="center"/>
            <w:hideMark/>
          </w:tcPr>
          <w:p w14:paraId="7977244B" w14:textId="77777777" w:rsidR="00CC7653" w:rsidRPr="00D420A4" w:rsidRDefault="00CC7653"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D420A4">
              <w:rPr>
                <w:rFonts w:ascii="Arial" w:hAnsi="Arial" w:cs="Arial"/>
                <w:b/>
                <w:bCs/>
                <w:color w:val="000000"/>
                <w:sz w:val="16"/>
                <w:szCs w:val="16"/>
              </w:rPr>
              <w:t>6%</w:t>
            </w:r>
          </w:p>
        </w:tc>
        <w:tc>
          <w:tcPr>
            <w:tcW w:w="1155" w:type="dxa"/>
            <w:shd w:val="clear" w:color="auto" w:fill="F2F2F2" w:themeFill="background1" w:themeFillShade="F2"/>
            <w:noWrap/>
            <w:vAlign w:val="center"/>
            <w:hideMark/>
          </w:tcPr>
          <w:p w14:paraId="6AB85471" w14:textId="77777777" w:rsidR="00CC7653" w:rsidRPr="00D420A4" w:rsidRDefault="00CC7653"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D420A4">
              <w:rPr>
                <w:rFonts w:ascii="Arial" w:hAnsi="Arial" w:cs="Arial"/>
                <w:b/>
                <w:bCs/>
                <w:color w:val="000000"/>
                <w:sz w:val="16"/>
                <w:szCs w:val="16"/>
              </w:rPr>
              <w:t>9%</w:t>
            </w:r>
          </w:p>
        </w:tc>
      </w:tr>
      <w:tr w:rsidR="00436A07" w:rsidRPr="00D420A4" w14:paraId="6EE151D2" w14:textId="77777777" w:rsidTr="00436A07">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737ED2A9" w14:textId="77777777" w:rsidR="00436A07" w:rsidRPr="00D420A4" w:rsidRDefault="00436A07" w:rsidP="00436A07">
            <w:pPr>
              <w:keepNext/>
              <w:spacing w:after="100" w:afterAutospacing="1"/>
              <w:jc w:val="center"/>
              <w:rPr>
                <w:rFonts w:ascii="Arial" w:hAnsi="Arial" w:cs="Arial"/>
                <w:color w:val="000000"/>
                <w:sz w:val="16"/>
                <w:szCs w:val="16"/>
              </w:rPr>
            </w:pPr>
            <w:r w:rsidRPr="00D420A4">
              <w:rPr>
                <w:rFonts w:ascii="Arial" w:hAnsi="Arial" w:cs="Arial"/>
                <w:color w:val="000000"/>
                <w:sz w:val="16"/>
                <w:szCs w:val="16"/>
              </w:rPr>
              <w:t>Lento</w:t>
            </w:r>
          </w:p>
        </w:tc>
        <w:tc>
          <w:tcPr>
            <w:tcW w:w="1728" w:type="dxa"/>
            <w:noWrap/>
            <w:vAlign w:val="center"/>
            <w:hideMark/>
          </w:tcPr>
          <w:p w14:paraId="63649CD9" w14:textId="77777777" w:rsidR="00436A07" w:rsidRPr="00D420A4"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Pesimista</w:t>
            </w:r>
          </w:p>
        </w:tc>
        <w:tc>
          <w:tcPr>
            <w:tcW w:w="1296" w:type="dxa"/>
            <w:noWrap/>
            <w:vAlign w:val="center"/>
            <w:hideMark/>
          </w:tcPr>
          <w:p w14:paraId="25E209A0" w14:textId="19AD358E"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427,222,507</w:t>
            </w:r>
          </w:p>
        </w:tc>
        <w:tc>
          <w:tcPr>
            <w:tcW w:w="1260" w:type="dxa"/>
            <w:noWrap/>
            <w:vAlign w:val="center"/>
            <w:hideMark/>
          </w:tcPr>
          <w:p w14:paraId="6B97FBF7" w14:textId="178C4F2F"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399,054,912</w:t>
            </w:r>
          </w:p>
        </w:tc>
        <w:tc>
          <w:tcPr>
            <w:tcW w:w="1152" w:type="dxa"/>
            <w:noWrap/>
            <w:vAlign w:val="center"/>
            <w:hideMark/>
          </w:tcPr>
          <w:p w14:paraId="40AA1F74" w14:textId="64B417BF"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327,111,374</w:t>
            </w:r>
          </w:p>
        </w:tc>
        <w:tc>
          <w:tcPr>
            <w:tcW w:w="1155" w:type="dxa"/>
            <w:noWrap/>
            <w:vAlign w:val="center"/>
            <w:hideMark/>
          </w:tcPr>
          <w:p w14:paraId="59856E32" w14:textId="51C53800"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270,390,238</w:t>
            </w:r>
          </w:p>
        </w:tc>
      </w:tr>
      <w:tr w:rsidR="00436A07" w:rsidRPr="00D420A4" w14:paraId="5F839879" w14:textId="77777777" w:rsidTr="00436A0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550CE770" w14:textId="77777777" w:rsidR="00436A07" w:rsidRPr="00D420A4" w:rsidRDefault="00436A07" w:rsidP="00436A07">
            <w:pPr>
              <w:keepNext/>
              <w:spacing w:after="100" w:afterAutospacing="1"/>
              <w:jc w:val="center"/>
              <w:rPr>
                <w:rFonts w:ascii="Arial" w:hAnsi="Arial" w:cs="Arial"/>
                <w:color w:val="000000"/>
                <w:sz w:val="16"/>
                <w:szCs w:val="16"/>
              </w:rPr>
            </w:pPr>
          </w:p>
        </w:tc>
        <w:tc>
          <w:tcPr>
            <w:tcW w:w="1728" w:type="dxa"/>
            <w:noWrap/>
            <w:vAlign w:val="center"/>
            <w:hideMark/>
          </w:tcPr>
          <w:p w14:paraId="6B17A128" w14:textId="77777777" w:rsidR="00436A07" w:rsidRPr="00D420A4"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Medio</w:t>
            </w:r>
          </w:p>
        </w:tc>
        <w:tc>
          <w:tcPr>
            <w:tcW w:w="1296" w:type="dxa"/>
            <w:noWrap/>
            <w:vAlign w:val="center"/>
            <w:hideMark/>
          </w:tcPr>
          <w:p w14:paraId="048E63D6" w14:textId="6BC367D9"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534,028,133</w:t>
            </w:r>
          </w:p>
        </w:tc>
        <w:tc>
          <w:tcPr>
            <w:tcW w:w="1260" w:type="dxa"/>
            <w:noWrap/>
            <w:vAlign w:val="center"/>
            <w:hideMark/>
          </w:tcPr>
          <w:p w14:paraId="6598B639" w14:textId="7003D21B"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498,818,640</w:t>
            </w:r>
          </w:p>
        </w:tc>
        <w:tc>
          <w:tcPr>
            <w:tcW w:w="1152" w:type="dxa"/>
            <w:noWrap/>
            <w:vAlign w:val="center"/>
            <w:hideMark/>
          </w:tcPr>
          <w:p w14:paraId="2E938C5D" w14:textId="6AABE749"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408,889,218</w:t>
            </w:r>
          </w:p>
        </w:tc>
        <w:tc>
          <w:tcPr>
            <w:tcW w:w="1155" w:type="dxa"/>
            <w:noWrap/>
            <w:vAlign w:val="center"/>
            <w:hideMark/>
          </w:tcPr>
          <w:p w14:paraId="6D7C9596" w14:textId="028B4A91"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337,987,798</w:t>
            </w:r>
          </w:p>
        </w:tc>
      </w:tr>
      <w:tr w:rsidR="00436A07" w:rsidRPr="00D420A4" w14:paraId="0C28B530" w14:textId="77777777" w:rsidTr="00436A07">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567D32E5" w14:textId="77777777" w:rsidR="00436A07" w:rsidRPr="00D420A4" w:rsidRDefault="00436A07" w:rsidP="00436A07">
            <w:pPr>
              <w:keepNext/>
              <w:spacing w:after="100" w:afterAutospacing="1"/>
              <w:jc w:val="center"/>
              <w:rPr>
                <w:rFonts w:ascii="Arial" w:hAnsi="Arial" w:cs="Arial"/>
                <w:color w:val="000000"/>
                <w:sz w:val="16"/>
                <w:szCs w:val="16"/>
              </w:rPr>
            </w:pPr>
          </w:p>
        </w:tc>
        <w:tc>
          <w:tcPr>
            <w:tcW w:w="1728" w:type="dxa"/>
            <w:noWrap/>
            <w:vAlign w:val="center"/>
            <w:hideMark/>
          </w:tcPr>
          <w:p w14:paraId="1C166C56" w14:textId="77777777" w:rsidR="00436A07" w:rsidRPr="00D420A4"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Optimista</w:t>
            </w:r>
          </w:p>
        </w:tc>
        <w:tc>
          <w:tcPr>
            <w:tcW w:w="1296" w:type="dxa"/>
            <w:noWrap/>
            <w:vAlign w:val="center"/>
            <w:hideMark/>
          </w:tcPr>
          <w:p w14:paraId="2346DD5C" w14:textId="1D04A410"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640,833,760</w:t>
            </w:r>
          </w:p>
        </w:tc>
        <w:tc>
          <w:tcPr>
            <w:tcW w:w="1260" w:type="dxa"/>
            <w:noWrap/>
            <w:vAlign w:val="center"/>
            <w:hideMark/>
          </w:tcPr>
          <w:p w14:paraId="70A6DC26" w14:textId="3F6FFCA4"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598,582,368</w:t>
            </w:r>
          </w:p>
        </w:tc>
        <w:tc>
          <w:tcPr>
            <w:tcW w:w="1152" w:type="dxa"/>
            <w:noWrap/>
            <w:vAlign w:val="center"/>
            <w:hideMark/>
          </w:tcPr>
          <w:p w14:paraId="4C5893D1" w14:textId="055255C1"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490,667,061</w:t>
            </w:r>
          </w:p>
        </w:tc>
        <w:tc>
          <w:tcPr>
            <w:tcW w:w="1155" w:type="dxa"/>
            <w:noWrap/>
            <w:vAlign w:val="center"/>
            <w:hideMark/>
          </w:tcPr>
          <w:p w14:paraId="7D2B960F" w14:textId="0916A8F6"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405,585,357</w:t>
            </w:r>
          </w:p>
        </w:tc>
      </w:tr>
      <w:tr w:rsidR="00436A07" w:rsidRPr="00D420A4" w14:paraId="528C7141" w14:textId="77777777" w:rsidTr="00436A0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10BBB01B" w14:textId="77777777" w:rsidR="00436A07" w:rsidRPr="00D420A4" w:rsidRDefault="00436A07" w:rsidP="00436A07">
            <w:pPr>
              <w:keepNext/>
              <w:spacing w:after="100" w:afterAutospacing="1"/>
              <w:jc w:val="center"/>
              <w:rPr>
                <w:rFonts w:ascii="Arial" w:hAnsi="Arial" w:cs="Arial"/>
                <w:color w:val="000000"/>
                <w:sz w:val="16"/>
                <w:szCs w:val="16"/>
              </w:rPr>
            </w:pPr>
            <w:r w:rsidRPr="00D420A4">
              <w:rPr>
                <w:rFonts w:ascii="Arial" w:hAnsi="Arial" w:cs="Arial"/>
                <w:color w:val="000000"/>
                <w:sz w:val="16"/>
                <w:szCs w:val="16"/>
              </w:rPr>
              <w:t>Regular</w:t>
            </w:r>
          </w:p>
        </w:tc>
        <w:tc>
          <w:tcPr>
            <w:tcW w:w="1728" w:type="dxa"/>
            <w:noWrap/>
            <w:vAlign w:val="center"/>
            <w:hideMark/>
          </w:tcPr>
          <w:p w14:paraId="0B5FC218" w14:textId="77777777" w:rsidR="00436A07" w:rsidRPr="00D420A4"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Pesimista</w:t>
            </w:r>
          </w:p>
        </w:tc>
        <w:tc>
          <w:tcPr>
            <w:tcW w:w="1296" w:type="dxa"/>
            <w:noWrap/>
            <w:vAlign w:val="center"/>
            <w:hideMark/>
          </w:tcPr>
          <w:p w14:paraId="73A5D4BA" w14:textId="0C99E58F"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461,726,821</w:t>
            </w:r>
          </w:p>
        </w:tc>
        <w:tc>
          <w:tcPr>
            <w:tcW w:w="1260" w:type="dxa"/>
            <w:noWrap/>
            <w:vAlign w:val="center"/>
            <w:hideMark/>
          </w:tcPr>
          <w:p w14:paraId="3BDEE4BF" w14:textId="64633BDF"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431,951,295</w:t>
            </w:r>
          </w:p>
        </w:tc>
        <w:tc>
          <w:tcPr>
            <w:tcW w:w="1152" w:type="dxa"/>
            <w:noWrap/>
            <w:vAlign w:val="center"/>
            <w:hideMark/>
          </w:tcPr>
          <w:p w14:paraId="70FA52EB" w14:textId="77214F19"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355,767,446</w:t>
            </w:r>
          </w:p>
        </w:tc>
        <w:tc>
          <w:tcPr>
            <w:tcW w:w="1155" w:type="dxa"/>
            <w:noWrap/>
            <w:vAlign w:val="center"/>
            <w:hideMark/>
          </w:tcPr>
          <w:p w14:paraId="4E4BF1EA" w14:textId="7EECE1A8"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295,535,367</w:t>
            </w:r>
          </w:p>
        </w:tc>
      </w:tr>
      <w:tr w:rsidR="00436A07" w:rsidRPr="00D420A4" w14:paraId="62A19E26" w14:textId="77777777" w:rsidTr="00436A07">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70E19CE2" w14:textId="77777777" w:rsidR="00436A07" w:rsidRPr="00D420A4" w:rsidRDefault="00436A07" w:rsidP="00436A07">
            <w:pPr>
              <w:keepNext/>
              <w:spacing w:after="100" w:afterAutospacing="1"/>
              <w:jc w:val="center"/>
              <w:rPr>
                <w:rFonts w:ascii="Arial" w:hAnsi="Arial" w:cs="Arial"/>
                <w:b w:val="0"/>
                <w:color w:val="000000"/>
                <w:sz w:val="16"/>
                <w:szCs w:val="16"/>
              </w:rPr>
            </w:pPr>
          </w:p>
        </w:tc>
        <w:tc>
          <w:tcPr>
            <w:tcW w:w="1728" w:type="dxa"/>
            <w:noWrap/>
            <w:vAlign w:val="center"/>
            <w:hideMark/>
          </w:tcPr>
          <w:p w14:paraId="1A4C74E1" w14:textId="77777777" w:rsidR="00436A07" w:rsidRPr="00D420A4"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Medio</w:t>
            </w:r>
          </w:p>
        </w:tc>
        <w:tc>
          <w:tcPr>
            <w:tcW w:w="1296" w:type="dxa"/>
            <w:noWrap/>
            <w:vAlign w:val="center"/>
            <w:hideMark/>
          </w:tcPr>
          <w:p w14:paraId="022C8913" w14:textId="0DCF998C"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577,158,527</w:t>
            </w:r>
          </w:p>
        </w:tc>
        <w:tc>
          <w:tcPr>
            <w:tcW w:w="1260" w:type="dxa"/>
            <w:shd w:val="clear" w:color="auto" w:fill="DBE5F1" w:themeFill="accent1" w:themeFillTint="33"/>
            <w:noWrap/>
            <w:vAlign w:val="center"/>
            <w:hideMark/>
          </w:tcPr>
          <w:p w14:paraId="01934D43" w14:textId="39C7A449"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436A07">
              <w:rPr>
                <w:rFonts w:ascii="Arial" w:hAnsi="Arial" w:cs="Arial"/>
                <w:color w:val="000000"/>
                <w:sz w:val="16"/>
                <w:szCs w:val="16"/>
              </w:rPr>
              <w:t>539,939,118</w:t>
            </w:r>
          </w:p>
        </w:tc>
        <w:tc>
          <w:tcPr>
            <w:tcW w:w="1152" w:type="dxa"/>
            <w:noWrap/>
            <w:vAlign w:val="center"/>
            <w:hideMark/>
          </w:tcPr>
          <w:p w14:paraId="0B07AF07" w14:textId="168F181E"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444,709,308</w:t>
            </w:r>
          </w:p>
        </w:tc>
        <w:tc>
          <w:tcPr>
            <w:tcW w:w="1155" w:type="dxa"/>
            <w:noWrap/>
            <w:vAlign w:val="center"/>
            <w:hideMark/>
          </w:tcPr>
          <w:p w14:paraId="40D2660B" w14:textId="41792F4E"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369,419,208</w:t>
            </w:r>
          </w:p>
        </w:tc>
      </w:tr>
      <w:tr w:rsidR="00436A07" w:rsidRPr="00D420A4" w14:paraId="14506002" w14:textId="77777777" w:rsidTr="00436A0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6D3D0845" w14:textId="77777777" w:rsidR="00436A07" w:rsidRPr="00D420A4" w:rsidRDefault="00436A07" w:rsidP="00436A07">
            <w:pPr>
              <w:keepNext/>
              <w:spacing w:after="100" w:afterAutospacing="1"/>
              <w:jc w:val="center"/>
              <w:rPr>
                <w:rFonts w:ascii="Arial" w:hAnsi="Arial" w:cs="Arial"/>
                <w:color w:val="000000"/>
                <w:sz w:val="16"/>
                <w:szCs w:val="16"/>
              </w:rPr>
            </w:pPr>
          </w:p>
        </w:tc>
        <w:tc>
          <w:tcPr>
            <w:tcW w:w="1728" w:type="dxa"/>
            <w:noWrap/>
            <w:vAlign w:val="center"/>
            <w:hideMark/>
          </w:tcPr>
          <w:p w14:paraId="5973318E" w14:textId="77777777" w:rsidR="00436A07" w:rsidRPr="00D420A4"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Optimista</w:t>
            </w:r>
          </w:p>
        </w:tc>
        <w:tc>
          <w:tcPr>
            <w:tcW w:w="1296" w:type="dxa"/>
            <w:noWrap/>
            <w:vAlign w:val="center"/>
            <w:hideMark/>
          </w:tcPr>
          <w:p w14:paraId="33410368" w14:textId="082A5AD5"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692,590,232</w:t>
            </w:r>
          </w:p>
        </w:tc>
        <w:tc>
          <w:tcPr>
            <w:tcW w:w="1260" w:type="dxa"/>
            <w:noWrap/>
            <w:vAlign w:val="center"/>
            <w:hideMark/>
          </w:tcPr>
          <w:p w14:paraId="602C790E" w14:textId="705E12A3"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647,926,942</w:t>
            </w:r>
          </w:p>
        </w:tc>
        <w:tc>
          <w:tcPr>
            <w:tcW w:w="1152" w:type="dxa"/>
            <w:noWrap/>
            <w:vAlign w:val="center"/>
            <w:hideMark/>
          </w:tcPr>
          <w:p w14:paraId="252D0AD8" w14:textId="2090DB0D"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533,651,170</w:t>
            </w:r>
          </w:p>
        </w:tc>
        <w:tc>
          <w:tcPr>
            <w:tcW w:w="1155" w:type="dxa"/>
            <w:noWrap/>
            <w:vAlign w:val="center"/>
            <w:hideMark/>
          </w:tcPr>
          <w:p w14:paraId="4C05C481" w14:textId="0860EA11"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443,303,050</w:t>
            </w:r>
          </w:p>
        </w:tc>
      </w:tr>
      <w:tr w:rsidR="00436A07" w:rsidRPr="00D420A4" w14:paraId="72C980F0" w14:textId="77777777" w:rsidTr="00436A07">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6A7FE9B7" w14:textId="77777777" w:rsidR="00436A07" w:rsidRPr="00D420A4" w:rsidRDefault="00436A07" w:rsidP="00436A07">
            <w:pPr>
              <w:keepNext/>
              <w:spacing w:after="100" w:afterAutospacing="1"/>
              <w:jc w:val="center"/>
              <w:rPr>
                <w:rFonts w:ascii="Arial" w:hAnsi="Arial" w:cs="Arial"/>
                <w:color w:val="000000"/>
                <w:sz w:val="16"/>
                <w:szCs w:val="16"/>
              </w:rPr>
            </w:pPr>
            <w:r w:rsidRPr="00D420A4">
              <w:rPr>
                <w:rFonts w:ascii="Arial" w:hAnsi="Arial" w:cs="Arial"/>
                <w:color w:val="000000"/>
                <w:sz w:val="16"/>
                <w:szCs w:val="16"/>
              </w:rPr>
              <w:t>Rápido</w:t>
            </w:r>
          </w:p>
        </w:tc>
        <w:tc>
          <w:tcPr>
            <w:tcW w:w="1728" w:type="dxa"/>
            <w:noWrap/>
            <w:vAlign w:val="center"/>
            <w:hideMark/>
          </w:tcPr>
          <w:p w14:paraId="48360C23" w14:textId="77777777" w:rsidR="00436A07" w:rsidRPr="00D420A4"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Pesimista</w:t>
            </w:r>
          </w:p>
        </w:tc>
        <w:tc>
          <w:tcPr>
            <w:tcW w:w="1296" w:type="dxa"/>
            <w:noWrap/>
            <w:vAlign w:val="center"/>
            <w:hideMark/>
          </w:tcPr>
          <w:p w14:paraId="5C7C81D1" w14:textId="6CC3543B"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560,421,935</w:t>
            </w:r>
          </w:p>
        </w:tc>
        <w:tc>
          <w:tcPr>
            <w:tcW w:w="1260" w:type="dxa"/>
            <w:noWrap/>
            <w:vAlign w:val="center"/>
            <w:hideMark/>
          </w:tcPr>
          <w:p w14:paraId="2F8D065E" w14:textId="736E2FD8"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525,862,389</w:t>
            </w:r>
          </w:p>
        </w:tc>
        <w:tc>
          <w:tcPr>
            <w:tcW w:w="1152" w:type="dxa"/>
            <w:noWrap/>
            <w:vAlign w:val="center"/>
            <w:hideMark/>
          </w:tcPr>
          <w:p w14:paraId="503A1D03" w14:textId="3DDAB28D"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437,041,616</w:t>
            </w:r>
          </w:p>
        </w:tc>
        <w:tc>
          <w:tcPr>
            <w:tcW w:w="1155" w:type="dxa"/>
            <w:noWrap/>
            <w:vAlign w:val="center"/>
            <w:hideMark/>
          </w:tcPr>
          <w:p w14:paraId="6077E643" w14:textId="5405DCCA"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366,328,109</w:t>
            </w:r>
          </w:p>
        </w:tc>
      </w:tr>
      <w:tr w:rsidR="00436A07" w:rsidRPr="00D420A4" w14:paraId="6F2911EF" w14:textId="77777777" w:rsidTr="00436A07">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376466E8" w14:textId="77777777" w:rsidR="00436A07" w:rsidRPr="00D420A4" w:rsidRDefault="00436A07" w:rsidP="00436A07">
            <w:pPr>
              <w:keepNext/>
              <w:spacing w:after="100" w:afterAutospacing="1"/>
              <w:jc w:val="center"/>
              <w:rPr>
                <w:rFonts w:ascii="Arial" w:hAnsi="Arial" w:cs="Arial"/>
                <w:color w:val="000000"/>
                <w:sz w:val="16"/>
                <w:szCs w:val="16"/>
              </w:rPr>
            </w:pPr>
          </w:p>
        </w:tc>
        <w:tc>
          <w:tcPr>
            <w:tcW w:w="1728" w:type="dxa"/>
            <w:noWrap/>
            <w:vAlign w:val="center"/>
            <w:hideMark/>
          </w:tcPr>
          <w:p w14:paraId="21CCA587" w14:textId="77777777" w:rsidR="00436A07" w:rsidRPr="00D420A4"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Medio</w:t>
            </w:r>
          </w:p>
        </w:tc>
        <w:tc>
          <w:tcPr>
            <w:tcW w:w="1296" w:type="dxa"/>
            <w:noWrap/>
            <w:vAlign w:val="center"/>
            <w:hideMark/>
          </w:tcPr>
          <w:p w14:paraId="42F6FE50" w14:textId="4F87C514"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700,527,418</w:t>
            </w:r>
          </w:p>
        </w:tc>
        <w:tc>
          <w:tcPr>
            <w:tcW w:w="1260" w:type="dxa"/>
            <w:noWrap/>
            <w:vAlign w:val="center"/>
            <w:hideMark/>
          </w:tcPr>
          <w:p w14:paraId="18872DD7" w14:textId="73585C60"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657,327,987</w:t>
            </w:r>
          </w:p>
        </w:tc>
        <w:tc>
          <w:tcPr>
            <w:tcW w:w="1152" w:type="dxa"/>
            <w:noWrap/>
            <w:vAlign w:val="center"/>
            <w:hideMark/>
          </w:tcPr>
          <w:p w14:paraId="14F63E5D" w14:textId="719CEB11"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546,302,020</w:t>
            </w:r>
          </w:p>
        </w:tc>
        <w:tc>
          <w:tcPr>
            <w:tcW w:w="1155" w:type="dxa"/>
            <w:noWrap/>
            <w:vAlign w:val="center"/>
            <w:hideMark/>
          </w:tcPr>
          <w:p w14:paraId="45C34489" w14:textId="1F00B3A6" w:rsidR="00436A07" w:rsidRPr="00436A07" w:rsidRDefault="00436A07" w:rsidP="00436A0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457,910,136</w:t>
            </w:r>
          </w:p>
        </w:tc>
      </w:tr>
      <w:tr w:rsidR="00436A07" w:rsidRPr="00D420A4" w14:paraId="18D13D50" w14:textId="77777777" w:rsidTr="00436A07">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15A1F9AF" w14:textId="77777777" w:rsidR="00436A07" w:rsidRPr="00D420A4" w:rsidRDefault="00436A07" w:rsidP="00436A07">
            <w:pPr>
              <w:keepNext/>
              <w:spacing w:after="100" w:afterAutospacing="1"/>
              <w:jc w:val="center"/>
              <w:rPr>
                <w:rFonts w:ascii="Arial" w:hAnsi="Arial" w:cs="Arial"/>
                <w:color w:val="000000"/>
                <w:sz w:val="16"/>
                <w:szCs w:val="16"/>
              </w:rPr>
            </w:pPr>
          </w:p>
        </w:tc>
        <w:tc>
          <w:tcPr>
            <w:tcW w:w="1728" w:type="dxa"/>
            <w:noWrap/>
            <w:vAlign w:val="center"/>
            <w:hideMark/>
          </w:tcPr>
          <w:p w14:paraId="01F46BCB" w14:textId="77777777" w:rsidR="00436A07" w:rsidRPr="00D420A4" w:rsidRDefault="00436A07" w:rsidP="00436A07">
            <w:pPr>
              <w:keepNext/>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420A4">
              <w:rPr>
                <w:rFonts w:ascii="Arial" w:hAnsi="Arial" w:cs="Arial"/>
                <w:color w:val="000000"/>
                <w:sz w:val="16"/>
                <w:szCs w:val="16"/>
              </w:rPr>
              <w:t>Optimista</w:t>
            </w:r>
          </w:p>
        </w:tc>
        <w:tc>
          <w:tcPr>
            <w:tcW w:w="1296" w:type="dxa"/>
            <w:noWrap/>
            <w:vAlign w:val="center"/>
            <w:hideMark/>
          </w:tcPr>
          <w:p w14:paraId="18D80D96" w14:textId="76704424"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840,632,902</w:t>
            </w:r>
          </w:p>
        </w:tc>
        <w:tc>
          <w:tcPr>
            <w:tcW w:w="1260" w:type="dxa"/>
            <w:noWrap/>
            <w:vAlign w:val="center"/>
            <w:hideMark/>
          </w:tcPr>
          <w:p w14:paraId="338DE7DF" w14:textId="478DF75F"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788,793,584</w:t>
            </w:r>
          </w:p>
        </w:tc>
        <w:tc>
          <w:tcPr>
            <w:tcW w:w="1152" w:type="dxa"/>
            <w:noWrap/>
            <w:vAlign w:val="center"/>
            <w:hideMark/>
          </w:tcPr>
          <w:p w14:paraId="66051F37" w14:textId="3D63B9C2"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655,562,424</w:t>
            </w:r>
          </w:p>
        </w:tc>
        <w:tc>
          <w:tcPr>
            <w:tcW w:w="1155" w:type="dxa"/>
            <w:noWrap/>
            <w:vAlign w:val="center"/>
            <w:hideMark/>
          </w:tcPr>
          <w:p w14:paraId="6D8B6C93" w14:textId="0D9302B6" w:rsidR="00436A07" w:rsidRPr="00436A07" w:rsidRDefault="00436A07" w:rsidP="00436A07">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436A07">
              <w:rPr>
                <w:rFonts w:ascii="Arial" w:hAnsi="Arial" w:cs="Arial"/>
                <w:color w:val="000000"/>
                <w:sz w:val="16"/>
                <w:szCs w:val="16"/>
              </w:rPr>
              <w:t>549,492,163</w:t>
            </w:r>
          </w:p>
        </w:tc>
      </w:tr>
    </w:tbl>
    <w:p w14:paraId="5208D0EF" w14:textId="41ADDE6F" w:rsidR="006E64BD" w:rsidRPr="00210A53" w:rsidRDefault="00CC7653" w:rsidP="00CC7653">
      <w:pPr>
        <w:keepNext/>
        <w:autoSpaceDE w:val="0"/>
        <w:autoSpaceDN w:val="0"/>
        <w:adjustRightInd w:val="0"/>
        <w:spacing w:after="100" w:afterAutospacing="1"/>
        <w:jc w:val="center"/>
        <w:rPr>
          <w:rFonts w:ascii="Arial" w:hAnsi="Arial" w:cs="Arial"/>
          <w:sz w:val="18"/>
          <w:szCs w:val="16"/>
        </w:rPr>
      </w:pPr>
      <w:r>
        <w:rPr>
          <w:rFonts w:ascii="Arial" w:hAnsi="Arial" w:cs="Arial"/>
          <w:sz w:val="18"/>
          <w:szCs w:val="16"/>
        </w:rPr>
        <w:br/>
      </w:r>
      <w:r w:rsidR="006E64BD" w:rsidRPr="00210A53">
        <w:rPr>
          <w:rFonts w:ascii="Arial" w:hAnsi="Arial" w:cs="Arial"/>
          <w:sz w:val="18"/>
          <w:szCs w:val="16"/>
        </w:rPr>
        <w:t>Fuente: Elaboración de los autores.</w:t>
      </w:r>
    </w:p>
    <w:p w14:paraId="04767E73" w14:textId="2328091E" w:rsidR="006E64BD" w:rsidRPr="00210A53" w:rsidRDefault="00F71289" w:rsidP="00FF04B5">
      <w:pPr>
        <w:autoSpaceDE w:val="0"/>
        <w:autoSpaceDN w:val="0"/>
        <w:adjustRightInd w:val="0"/>
        <w:spacing w:after="100" w:afterAutospacing="1"/>
        <w:jc w:val="both"/>
        <w:rPr>
          <w:rFonts w:ascii="Arial" w:hAnsi="Arial" w:cs="Arial"/>
          <w:sz w:val="22"/>
          <w:szCs w:val="22"/>
        </w:rPr>
      </w:pPr>
      <w:r w:rsidRPr="00210A53">
        <w:rPr>
          <w:rFonts w:ascii="Arial" w:hAnsi="Arial" w:cs="Arial"/>
          <w:sz w:val="22"/>
          <w:szCs w:val="22"/>
        </w:rPr>
        <w:t xml:space="preserve">Los </w:t>
      </w:r>
      <w:r w:rsidRPr="00CE1598">
        <w:rPr>
          <w:rFonts w:ascii="Arial" w:hAnsi="Arial" w:cs="Arial"/>
          <w:sz w:val="22"/>
          <w:szCs w:val="22"/>
        </w:rPr>
        <w:t>diferentes escenarios de beneficios del análisis complementario con un horizonte de diez años se muestran en l</w:t>
      </w:r>
      <w:r w:rsidR="000B0D47" w:rsidRPr="00CE1598">
        <w:rPr>
          <w:rFonts w:ascii="Arial" w:hAnsi="Arial" w:cs="Arial"/>
          <w:sz w:val="22"/>
          <w:szCs w:val="22"/>
        </w:rPr>
        <w:t xml:space="preserve">a Tabla </w:t>
      </w:r>
      <w:r w:rsidR="00205B46" w:rsidRPr="00CE1598">
        <w:rPr>
          <w:rFonts w:ascii="Arial" w:hAnsi="Arial" w:cs="Arial"/>
          <w:sz w:val="22"/>
          <w:szCs w:val="22"/>
        </w:rPr>
        <w:t>6</w:t>
      </w:r>
      <w:r w:rsidR="000B0D47" w:rsidRPr="00CE1598">
        <w:rPr>
          <w:rFonts w:ascii="Arial" w:hAnsi="Arial" w:cs="Arial"/>
          <w:sz w:val="22"/>
          <w:szCs w:val="22"/>
        </w:rPr>
        <w:t xml:space="preserve"> y oscilan </w:t>
      </w:r>
      <w:r w:rsidR="000B0D47" w:rsidRPr="0089592F">
        <w:rPr>
          <w:rFonts w:ascii="Arial" w:hAnsi="Arial" w:cs="Arial"/>
          <w:sz w:val="22"/>
          <w:szCs w:val="22"/>
        </w:rPr>
        <w:t>entre US$</w:t>
      </w:r>
      <w:r w:rsidR="00436A07" w:rsidRPr="0089592F">
        <w:rPr>
          <w:rFonts w:ascii="Arial" w:hAnsi="Arial" w:cs="Arial"/>
          <w:sz w:val="22"/>
          <w:szCs w:val="22"/>
        </w:rPr>
        <w:t>270</w:t>
      </w:r>
      <w:r w:rsidR="00F45060" w:rsidRPr="0089592F">
        <w:rPr>
          <w:rFonts w:ascii="Arial" w:hAnsi="Arial" w:cs="Arial"/>
          <w:sz w:val="22"/>
          <w:szCs w:val="22"/>
        </w:rPr>
        <w:t xml:space="preserve"> </w:t>
      </w:r>
      <w:r w:rsidRPr="0089592F">
        <w:rPr>
          <w:rFonts w:ascii="Arial" w:hAnsi="Arial" w:cs="Arial"/>
          <w:sz w:val="22"/>
          <w:szCs w:val="22"/>
        </w:rPr>
        <w:t>y US$</w:t>
      </w:r>
      <w:r w:rsidR="00436A07" w:rsidRPr="0089592F">
        <w:rPr>
          <w:rFonts w:ascii="Arial" w:hAnsi="Arial" w:cs="Arial"/>
          <w:sz w:val="22"/>
          <w:szCs w:val="22"/>
        </w:rPr>
        <w:t>840</w:t>
      </w:r>
      <w:r w:rsidR="00CF2EFE" w:rsidRPr="0089592F">
        <w:rPr>
          <w:rFonts w:ascii="Arial" w:hAnsi="Arial" w:cs="Arial"/>
          <w:sz w:val="22"/>
          <w:szCs w:val="22"/>
        </w:rPr>
        <w:t xml:space="preserve"> </w:t>
      </w:r>
      <w:r w:rsidRPr="0089592F">
        <w:rPr>
          <w:rFonts w:ascii="Arial" w:hAnsi="Arial" w:cs="Arial"/>
          <w:sz w:val="22"/>
          <w:szCs w:val="22"/>
        </w:rPr>
        <w:t xml:space="preserve">millones. Sin embargo, cabe resaltar que dichos beneficios </w:t>
      </w:r>
      <w:r w:rsidR="000B0D47" w:rsidRPr="0089592F">
        <w:rPr>
          <w:rFonts w:ascii="Arial" w:hAnsi="Arial" w:cs="Arial"/>
          <w:sz w:val="22"/>
          <w:szCs w:val="22"/>
        </w:rPr>
        <w:t>dependen de inversiones adicionales posteriores a</w:t>
      </w:r>
      <w:r w:rsidR="00BF6C50" w:rsidRPr="0089592F">
        <w:rPr>
          <w:rFonts w:ascii="Arial" w:hAnsi="Arial" w:cs="Arial"/>
          <w:sz w:val="22"/>
          <w:szCs w:val="22"/>
        </w:rPr>
        <w:t>l</w:t>
      </w:r>
      <w:r w:rsidR="00BF6C50" w:rsidRPr="00210A53">
        <w:rPr>
          <w:rFonts w:ascii="Arial" w:hAnsi="Arial" w:cs="Arial"/>
          <w:sz w:val="22"/>
          <w:szCs w:val="22"/>
        </w:rPr>
        <w:t xml:space="preserve"> programa</w:t>
      </w:r>
      <w:r w:rsidR="000B0D47" w:rsidRPr="00210A53">
        <w:rPr>
          <w:rFonts w:ascii="Arial" w:hAnsi="Arial" w:cs="Arial"/>
          <w:sz w:val="22"/>
          <w:szCs w:val="22"/>
        </w:rPr>
        <w:t xml:space="preserve">. </w:t>
      </w:r>
    </w:p>
    <w:p w14:paraId="6237FAA8" w14:textId="714D53D6" w:rsidR="00562DC4" w:rsidRPr="00B41D31" w:rsidRDefault="7AAD52A0" w:rsidP="00C21E2B">
      <w:pPr>
        <w:pStyle w:val="Heading3"/>
        <w:numPr>
          <w:ilvl w:val="2"/>
          <w:numId w:val="0"/>
        </w:numPr>
        <w:jc w:val="both"/>
        <w:rPr>
          <w:rFonts w:ascii="Arial" w:hAnsi="Arial" w:cs="Arial"/>
          <w:color w:val="auto"/>
        </w:rPr>
      </w:pPr>
      <w:bookmarkStart w:id="36" w:name="_Toc100512105"/>
      <w:r w:rsidRPr="027F12FB">
        <w:rPr>
          <w:rFonts w:ascii="Arial" w:hAnsi="Arial" w:cs="Arial"/>
          <w:color w:val="auto"/>
        </w:rPr>
        <w:t xml:space="preserve">Componente 3: </w:t>
      </w:r>
      <w:r w:rsidR="00A2174B">
        <w:rPr>
          <w:rFonts w:ascii="Arial" w:hAnsi="Arial" w:cs="Arial"/>
          <w:color w:val="auto"/>
        </w:rPr>
        <w:t>Fortalecimiento de la gestión de la información y del uso de nuevas tecnologías en salud</w:t>
      </w:r>
      <w:bookmarkEnd w:id="36"/>
    </w:p>
    <w:p w14:paraId="44F71FAA" w14:textId="298D8811" w:rsidR="00892CF3" w:rsidRPr="00210A53" w:rsidRDefault="00892CF3" w:rsidP="00892CF3">
      <w:pPr>
        <w:autoSpaceDE w:val="0"/>
        <w:autoSpaceDN w:val="0"/>
        <w:adjustRightInd w:val="0"/>
        <w:jc w:val="both"/>
        <w:rPr>
          <w:rFonts w:ascii="Arial" w:hAnsi="Arial" w:cs="Arial"/>
          <w:sz w:val="22"/>
          <w:szCs w:val="22"/>
        </w:rPr>
      </w:pPr>
    </w:p>
    <w:p w14:paraId="39EABB0E" w14:textId="3D6EB43A" w:rsidR="00266199" w:rsidRDefault="00560005" w:rsidP="00892CF3">
      <w:pPr>
        <w:autoSpaceDE w:val="0"/>
        <w:autoSpaceDN w:val="0"/>
        <w:adjustRightInd w:val="0"/>
        <w:jc w:val="both"/>
        <w:rPr>
          <w:rFonts w:ascii="Arial" w:hAnsi="Arial" w:cs="Arial"/>
          <w:sz w:val="22"/>
          <w:szCs w:val="22"/>
        </w:rPr>
      </w:pPr>
      <w:r>
        <w:rPr>
          <w:rFonts w:ascii="Arial" w:hAnsi="Arial" w:cs="Arial"/>
          <w:sz w:val="22"/>
          <w:szCs w:val="22"/>
        </w:rPr>
        <w:t>E</w:t>
      </w:r>
      <w:r w:rsidR="00266199">
        <w:rPr>
          <w:rFonts w:ascii="Arial" w:hAnsi="Arial" w:cs="Arial"/>
          <w:sz w:val="22"/>
          <w:szCs w:val="22"/>
        </w:rPr>
        <w:t>n e</w:t>
      </w:r>
      <w:r>
        <w:rPr>
          <w:rFonts w:ascii="Arial" w:hAnsi="Arial" w:cs="Arial"/>
          <w:sz w:val="22"/>
          <w:szCs w:val="22"/>
        </w:rPr>
        <w:t xml:space="preserve">l análisis económico del componente 3 </w:t>
      </w:r>
      <w:r w:rsidR="00266199">
        <w:rPr>
          <w:rFonts w:ascii="Arial" w:hAnsi="Arial" w:cs="Arial"/>
          <w:sz w:val="22"/>
          <w:szCs w:val="22"/>
        </w:rPr>
        <w:t>se consideraron los siguientes escenarios de número de muertes prevenibles</w:t>
      </w:r>
      <w:r w:rsidR="00D34B5F">
        <w:rPr>
          <w:rFonts w:ascii="Arial" w:hAnsi="Arial" w:cs="Arial"/>
          <w:sz w:val="22"/>
          <w:szCs w:val="22"/>
        </w:rPr>
        <w:t xml:space="preserve"> por COVID-19</w:t>
      </w:r>
      <w:r w:rsidR="00266199">
        <w:rPr>
          <w:rFonts w:ascii="Arial" w:hAnsi="Arial" w:cs="Arial"/>
          <w:sz w:val="22"/>
          <w:szCs w:val="22"/>
        </w:rPr>
        <w:t xml:space="preserve"> </w:t>
      </w:r>
      <w:r w:rsidR="00BE4F45">
        <w:rPr>
          <w:rFonts w:ascii="Arial" w:hAnsi="Arial" w:cs="Arial"/>
          <w:sz w:val="22"/>
          <w:szCs w:val="22"/>
        </w:rPr>
        <w:t xml:space="preserve">(Tabla 7) </w:t>
      </w:r>
      <w:r w:rsidR="00266199">
        <w:rPr>
          <w:rFonts w:ascii="Arial" w:hAnsi="Arial" w:cs="Arial"/>
          <w:sz w:val="22"/>
          <w:szCs w:val="22"/>
        </w:rPr>
        <w:t xml:space="preserve">de acuerdo </w:t>
      </w:r>
      <w:r w:rsidR="00BE4F45">
        <w:rPr>
          <w:rFonts w:ascii="Arial" w:hAnsi="Arial" w:cs="Arial"/>
          <w:sz w:val="22"/>
          <w:szCs w:val="22"/>
        </w:rPr>
        <w:t>con</w:t>
      </w:r>
      <w:r w:rsidR="00266199">
        <w:rPr>
          <w:rFonts w:ascii="Arial" w:hAnsi="Arial" w:cs="Arial"/>
          <w:sz w:val="22"/>
          <w:szCs w:val="22"/>
        </w:rPr>
        <w:t xml:space="preserve"> los grupos de municipios de referencia</w:t>
      </w:r>
      <w:r w:rsidR="00BE4F45">
        <w:rPr>
          <w:rFonts w:ascii="Arial" w:hAnsi="Arial" w:cs="Arial"/>
          <w:sz w:val="22"/>
          <w:szCs w:val="22"/>
        </w:rPr>
        <w:t xml:space="preserve">: </w:t>
      </w:r>
      <w:r w:rsidR="00266199">
        <w:rPr>
          <w:rFonts w:ascii="Arial" w:hAnsi="Arial" w:cs="Arial"/>
          <w:sz w:val="22"/>
          <w:szCs w:val="22"/>
        </w:rPr>
        <w:t xml:space="preserve">municipios en el </w:t>
      </w:r>
      <w:r w:rsidR="00BE4F45">
        <w:rPr>
          <w:rFonts w:ascii="Arial" w:hAnsi="Arial" w:cs="Arial"/>
          <w:sz w:val="22"/>
          <w:szCs w:val="22"/>
        </w:rPr>
        <w:t>RMSP, municipios con población similar al MSA y municipios con población mayor o igual a 700 mil habitantes</w:t>
      </w:r>
      <w:r w:rsidR="00266199">
        <w:rPr>
          <w:rFonts w:ascii="Arial" w:hAnsi="Arial" w:cs="Arial"/>
          <w:sz w:val="22"/>
          <w:szCs w:val="22"/>
        </w:rPr>
        <w:t>)</w:t>
      </w:r>
      <w:r w:rsidR="00BE4F45">
        <w:rPr>
          <w:rFonts w:ascii="Arial" w:hAnsi="Arial" w:cs="Arial"/>
          <w:sz w:val="22"/>
          <w:szCs w:val="22"/>
        </w:rPr>
        <w:t>.</w:t>
      </w:r>
      <w:r w:rsidR="00BC1095">
        <w:rPr>
          <w:rFonts w:ascii="Arial" w:hAnsi="Arial" w:cs="Arial"/>
          <w:sz w:val="22"/>
          <w:szCs w:val="22"/>
        </w:rPr>
        <w:t xml:space="preserve"> No existe un modelo para estimar con precisión el ahorro en número de muertes que tendrá cada intervención de este componente. Sin embargo, </w:t>
      </w:r>
      <w:r w:rsidR="00BC1095">
        <w:rPr>
          <w:rFonts w:ascii="Arial" w:hAnsi="Arial" w:cs="Arial"/>
          <w:sz w:val="22"/>
          <w:szCs w:val="22"/>
        </w:rPr>
        <w:lastRenderedPageBreak/>
        <w:t>es posible identificar los márgenes de mejora en cada intervención y el análisis de sensibilidad permite analizar varios escenarios.</w:t>
      </w:r>
    </w:p>
    <w:p w14:paraId="33D0A1DD" w14:textId="65DE7379" w:rsidR="008F47E9" w:rsidRDefault="008F47E9" w:rsidP="00892CF3">
      <w:pPr>
        <w:autoSpaceDE w:val="0"/>
        <w:autoSpaceDN w:val="0"/>
        <w:adjustRightInd w:val="0"/>
        <w:jc w:val="both"/>
        <w:rPr>
          <w:rFonts w:ascii="Arial" w:hAnsi="Arial" w:cs="Arial"/>
          <w:sz w:val="22"/>
          <w:szCs w:val="22"/>
        </w:rPr>
      </w:pPr>
    </w:p>
    <w:p w14:paraId="6B61A744" w14:textId="69120D0E" w:rsidR="0073177E" w:rsidRPr="00210A53" w:rsidRDefault="008F47E9" w:rsidP="0073177E">
      <w:pPr>
        <w:autoSpaceDE w:val="0"/>
        <w:autoSpaceDN w:val="0"/>
        <w:adjustRightInd w:val="0"/>
        <w:jc w:val="both"/>
        <w:rPr>
          <w:rFonts w:ascii="Arial" w:hAnsi="Arial" w:cs="Arial"/>
        </w:rPr>
      </w:pPr>
      <w:r>
        <w:rPr>
          <w:rFonts w:ascii="Arial" w:hAnsi="Arial" w:cs="Arial"/>
          <w:sz w:val="22"/>
          <w:szCs w:val="22"/>
        </w:rPr>
        <w:t xml:space="preserve">Los beneficios </w:t>
      </w:r>
      <w:r w:rsidR="0073177E">
        <w:rPr>
          <w:rFonts w:ascii="Arial" w:hAnsi="Arial" w:cs="Arial"/>
          <w:sz w:val="22"/>
          <w:szCs w:val="22"/>
        </w:rPr>
        <w:t>d</w:t>
      </w:r>
      <w:r w:rsidR="00D34C73">
        <w:rPr>
          <w:rFonts w:ascii="Arial" w:hAnsi="Arial" w:cs="Arial"/>
          <w:sz w:val="22"/>
          <w:szCs w:val="22"/>
        </w:rPr>
        <w:t>el f</w:t>
      </w:r>
      <w:r w:rsidR="00D34C73" w:rsidRPr="00D34C73">
        <w:rPr>
          <w:rFonts w:ascii="Arial" w:hAnsi="Arial" w:cs="Arial"/>
          <w:sz w:val="22"/>
          <w:szCs w:val="22"/>
        </w:rPr>
        <w:t>ortalecim</w:t>
      </w:r>
      <w:r w:rsidR="006E6D71">
        <w:rPr>
          <w:rFonts w:ascii="Arial" w:hAnsi="Arial" w:cs="Arial"/>
          <w:sz w:val="22"/>
          <w:szCs w:val="22"/>
        </w:rPr>
        <w:t>i</w:t>
      </w:r>
      <w:r w:rsidR="00D34C73" w:rsidRPr="00D34C73">
        <w:rPr>
          <w:rFonts w:ascii="Arial" w:hAnsi="Arial" w:cs="Arial"/>
          <w:sz w:val="22"/>
          <w:szCs w:val="22"/>
        </w:rPr>
        <w:t>ento de la gestión de la información y del uso de nuevas tecnologías en salud</w:t>
      </w:r>
      <w:r w:rsidR="0073177E">
        <w:rPr>
          <w:rFonts w:ascii="Arial" w:hAnsi="Arial" w:cs="Arial"/>
          <w:sz w:val="22"/>
          <w:szCs w:val="22"/>
        </w:rPr>
        <w:t xml:space="preserve"> se justifican mediante: </w:t>
      </w:r>
      <w:r w:rsidR="00197EF6" w:rsidRPr="00197EF6">
        <w:rPr>
          <w:rFonts w:ascii="Arial" w:hAnsi="Arial" w:cs="Arial"/>
          <w:sz w:val="22"/>
          <w:szCs w:val="22"/>
        </w:rPr>
        <w:t>(i) Sistema de Registro Electrónico de Salud; (</w:t>
      </w:r>
      <w:proofErr w:type="spellStart"/>
      <w:r w:rsidR="00197EF6" w:rsidRPr="00197EF6">
        <w:rPr>
          <w:rFonts w:ascii="Arial" w:hAnsi="Arial" w:cs="Arial"/>
          <w:sz w:val="22"/>
          <w:szCs w:val="22"/>
        </w:rPr>
        <w:t>ii</w:t>
      </w:r>
      <w:proofErr w:type="spellEnd"/>
      <w:r w:rsidR="00197EF6" w:rsidRPr="00197EF6">
        <w:rPr>
          <w:rFonts w:ascii="Arial" w:hAnsi="Arial" w:cs="Arial"/>
          <w:sz w:val="22"/>
          <w:szCs w:val="22"/>
        </w:rPr>
        <w:t>) equipamientos y softwares para ampliar y modernizar el parque tecnológico del sector; (</w:t>
      </w:r>
      <w:proofErr w:type="spellStart"/>
      <w:r w:rsidR="00197EF6" w:rsidRPr="00197EF6">
        <w:rPr>
          <w:rFonts w:ascii="Arial" w:hAnsi="Arial" w:cs="Arial"/>
          <w:sz w:val="22"/>
          <w:szCs w:val="22"/>
        </w:rPr>
        <w:t>iii</w:t>
      </w:r>
      <w:proofErr w:type="spellEnd"/>
      <w:r w:rsidR="00197EF6" w:rsidRPr="00197EF6">
        <w:rPr>
          <w:rFonts w:ascii="Arial" w:hAnsi="Arial" w:cs="Arial"/>
          <w:sz w:val="22"/>
          <w:szCs w:val="22"/>
        </w:rPr>
        <w:t>) implementación del Plan Estratégico de Telemedicina; (</w:t>
      </w:r>
      <w:proofErr w:type="spellStart"/>
      <w:r w:rsidR="00197EF6" w:rsidRPr="00197EF6">
        <w:rPr>
          <w:rFonts w:ascii="Arial" w:hAnsi="Arial" w:cs="Arial"/>
          <w:sz w:val="22"/>
          <w:szCs w:val="22"/>
        </w:rPr>
        <w:t>iv</w:t>
      </w:r>
      <w:proofErr w:type="spellEnd"/>
      <w:r w:rsidR="00197EF6" w:rsidRPr="00197EF6">
        <w:rPr>
          <w:rFonts w:ascii="Arial" w:hAnsi="Arial" w:cs="Arial"/>
          <w:sz w:val="22"/>
          <w:szCs w:val="22"/>
        </w:rPr>
        <w:t xml:space="preserve">) desarrollo del Plan </w:t>
      </w:r>
      <w:proofErr w:type="gramStart"/>
      <w:r w:rsidR="00197EF6" w:rsidRPr="00197EF6">
        <w:rPr>
          <w:rFonts w:ascii="Arial" w:hAnsi="Arial" w:cs="Arial"/>
          <w:sz w:val="22"/>
          <w:szCs w:val="22"/>
        </w:rPr>
        <w:t>Director</w:t>
      </w:r>
      <w:proofErr w:type="gramEnd"/>
      <w:r w:rsidR="00197EF6" w:rsidRPr="00197EF6">
        <w:rPr>
          <w:rFonts w:ascii="Arial" w:hAnsi="Arial" w:cs="Arial"/>
          <w:sz w:val="22"/>
          <w:szCs w:val="22"/>
        </w:rPr>
        <w:t xml:space="preserve"> de Tecnología; y (v) solución de telecomunicación, conectividad y teleprocesamiento.</w:t>
      </w:r>
    </w:p>
    <w:p w14:paraId="7BFBEA84" w14:textId="77777777" w:rsidR="008F47E9" w:rsidRDefault="008F47E9" w:rsidP="00892CF3">
      <w:pPr>
        <w:autoSpaceDE w:val="0"/>
        <w:autoSpaceDN w:val="0"/>
        <w:adjustRightInd w:val="0"/>
        <w:jc w:val="both"/>
        <w:rPr>
          <w:rFonts w:ascii="Arial" w:hAnsi="Arial" w:cs="Arial"/>
          <w:sz w:val="22"/>
          <w:szCs w:val="22"/>
        </w:rPr>
      </w:pPr>
    </w:p>
    <w:p w14:paraId="50322311" w14:textId="600CA676" w:rsidR="0067324B" w:rsidRPr="00EE10BC" w:rsidRDefault="009167FD" w:rsidP="0067324B">
      <w:pPr>
        <w:pStyle w:val="Caption"/>
      </w:pPr>
      <w:r w:rsidRPr="00BC1095">
        <w:t xml:space="preserve">Tabla </w:t>
      </w:r>
      <w:r w:rsidRPr="00BC1095">
        <w:fldChar w:fldCharType="begin"/>
      </w:r>
      <w:r w:rsidRPr="00BC1095">
        <w:instrText xml:space="preserve"> SEQ Tabla \* ARABIC </w:instrText>
      </w:r>
      <w:r w:rsidRPr="00BC1095">
        <w:fldChar w:fldCharType="separate"/>
      </w:r>
      <w:r w:rsidR="00987350">
        <w:rPr>
          <w:noProof/>
        </w:rPr>
        <w:t>7</w:t>
      </w:r>
      <w:r w:rsidRPr="00BC1095">
        <w:fldChar w:fldCharType="end"/>
      </w:r>
      <w:r w:rsidRPr="00BC1095">
        <w:t xml:space="preserve">. </w:t>
      </w:r>
      <w:r w:rsidR="0067324B" w:rsidRPr="0089592F">
        <w:t>Escenarios de contribuci</w:t>
      </w:r>
      <w:r w:rsidR="0067324B" w:rsidRPr="0089592F">
        <w:rPr>
          <w:rFonts w:eastAsia="Calibri"/>
        </w:rPr>
        <w:t>ón</w:t>
      </w:r>
      <w:r w:rsidR="0067324B" w:rsidRPr="0089592F">
        <w:t xml:space="preserve"> </w:t>
      </w:r>
      <w:proofErr w:type="spellStart"/>
      <w:r w:rsidR="0067324B" w:rsidRPr="0089592F">
        <w:rPr>
          <w:rFonts w:eastAsia="Calibri"/>
        </w:rPr>
        <w:t>al</w:t>
      </w:r>
      <w:proofErr w:type="spellEnd"/>
      <w:r w:rsidR="0067324B" w:rsidRPr="0089592F">
        <w:t xml:space="preserve"> ESE</w:t>
      </w:r>
      <w:r w:rsidR="0067324B" w:rsidRPr="00EE10BC">
        <w:t xml:space="preserve"> </w:t>
      </w:r>
    </w:p>
    <w:p w14:paraId="2E7831C5" w14:textId="77777777" w:rsidR="0067324B" w:rsidRPr="00EE10BC" w:rsidRDefault="0067324B" w:rsidP="0067324B">
      <w:pPr>
        <w:rPr>
          <w:lang w:val="es-ES_tradnl"/>
        </w:rPr>
      </w:pPr>
    </w:p>
    <w:tbl>
      <w:tblPr>
        <w:tblStyle w:val="PlainTable2"/>
        <w:tblpPr w:leftFromText="180" w:rightFromText="180" w:vertAnchor="text" w:horzAnchor="margin" w:tblpXSpec="center" w:tblpY="61"/>
        <w:tblW w:w="0" w:type="auto"/>
        <w:tblLayout w:type="fixed"/>
        <w:tblLook w:val="04A0" w:firstRow="1" w:lastRow="0" w:firstColumn="1" w:lastColumn="0" w:noHBand="0" w:noVBand="1"/>
      </w:tblPr>
      <w:tblGrid>
        <w:gridCol w:w="2016"/>
        <w:gridCol w:w="2592"/>
      </w:tblGrid>
      <w:tr w:rsidR="0067324B" w:rsidRPr="00EE10BC" w14:paraId="3DA9086C" w14:textId="77777777" w:rsidTr="00C014E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16" w:type="dxa"/>
            <w:noWrap/>
            <w:vAlign w:val="center"/>
            <w:hideMark/>
          </w:tcPr>
          <w:p w14:paraId="1299A42E" w14:textId="77777777" w:rsidR="0067324B" w:rsidRPr="00EE10BC" w:rsidRDefault="0067324B" w:rsidP="00C014EC">
            <w:pPr>
              <w:keepNext/>
              <w:spacing w:after="100" w:afterAutospacing="1"/>
              <w:rPr>
                <w:rFonts w:ascii="Arial" w:hAnsi="Arial" w:cs="Arial"/>
                <w:color w:val="000000"/>
                <w:sz w:val="16"/>
                <w:szCs w:val="16"/>
              </w:rPr>
            </w:pPr>
            <w:r w:rsidRPr="00EE10BC">
              <w:rPr>
                <w:rFonts w:ascii="Arial" w:hAnsi="Arial" w:cs="Arial"/>
                <w:color w:val="000000"/>
                <w:sz w:val="16"/>
                <w:szCs w:val="16"/>
              </w:rPr>
              <w:t>Escenario 1: Pesimista</w:t>
            </w:r>
          </w:p>
        </w:tc>
        <w:tc>
          <w:tcPr>
            <w:tcW w:w="2592" w:type="dxa"/>
            <w:noWrap/>
            <w:vAlign w:val="center"/>
            <w:hideMark/>
          </w:tcPr>
          <w:p w14:paraId="2B3C26CB" w14:textId="7AD6F904" w:rsidR="0067324B" w:rsidRPr="00CB29A2" w:rsidRDefault="0067324B" w:rsidP="00C014EC">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16"/>
                <w:szCs w:val="16"/>
              </w:rPr>
            </w:pPr>
            <w:r w:rsidRPr="00CB29A2">
              <w:rPr>
                <w:rFonts w:ascii="Arial" w:hAnsi="Arial" w:cs="Arial"/>
                <w:b w:val="0"/>
                <w:bCs w:val="0"/>
                <w:color w:val="000000"/>
                <w:sz w:val="16"/>
                <w:szCs w:val="16"/>
              </w:rPr>
              <w:t>50%</w:t>
            </w:r>
          </w:p>
        </w:tc>
      </w:tr>
      <w:tr w:rsidR="0067324B" w:rsidRPr="00EE10BC" w14:paraId="62FF1F51" w14:textId="77777777" w:rsidTr="00C014EC">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16" w:type="dxa"/>
            <w:noWrap/>
            <w:vAlign w:val="center"/>
            <w:hideMark/>
          </w:tcPr>
          <w:p w14:paraId="18B4E670" w14:textId="77777777" w:rsidR="0067324B" w:rsidRPr="00EE10BC" w:rsidRDefault="0067324B" w:rsidP="00C014EC">
            <w:pPr>
              <w:keepNext/>
              <w:spacing w:after="100" w:afterAutospacing="1"/>
              <w:rPr>
                <w:rFonts w:ascii="Arial" w:hAnsi="Arial" w:cs="Arial"/>
                <w:color w:val="000000"/>
                <w:sz w:val="16"/>
                <w:szCs w:val="16"/>
              </w:rPr>
            </w:pPr>
            <w:r w:rsidRPr="00EE10BC">
              <w:rPr>
                <w:rFonts w:ascii="Arial" w:hAnsi="Arial" w:cs="Arial"/>
                <w:color w:val="000000"/>
                <w:sz w:val="16"/>
                <w:szCs w:val="16"/>
              </w:rPr>
              <w:t>Escenario 2: Medio</w:t>
            </w:r>
          </w:p>
        </w:tc>
        <w:tc>
          <w:tcPr>
            <w:tcW w:w="2592" w:type="dxa"/>
            <w:noWrap/>
            <w:vAlign w:val="center"/>
            <w:hideMark/>
          </w:tcPr>
          <w:p w14:paraId="6EF909F0" w14:textId="280E48EC" w:rsidR="0067324B" w:rsidRPr="00EE10BC" w:rsidRDefault="0067324B"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70</w:t>
            </w:r>
            <w:r w:rsidRPr="00EE10BC">
              <w:rPr>
                <w:rFonts w:ascii="Arial" w:hAnsi="Arial" w:cs="Arial"/>
                <w:sz w:val="16"/>
                <w:szCs w:val="16"/>
              </w:rPr>
              <w:t>%</w:t>
            </w:r>
          </w:p>
        </w:tc>
      </w:tr>
      <w:tr w:rsidR="0067324B" w:rsidRPr="00210A53" w14:paraId="116064EC" w14:textId="77777777" w:rsidTr="00C014EC">
        <w:trPr>
          <w:trHeight w:val="320"/>
        </w:trPr>
        <w:tc>
          <w:tcPr>
            <w:cnfStyle w:val="001000000000" w:firstRow="0" w:lastRow="0" w:firstColumn="1" w:lastColumn="0" w:oddVBand="0" w:evenVBand="0" w:oddHBand="0" w:evenHBand="0" w:firstRowFirstColumn="0" w:firstRowLastColumn="0" w:lastRowFirstColumn="0" w:lastRowLastColumn="0"/>
            <w:tcW w:w="2016" w:type="dxa"/>
            <w:noWrap/>
            <w:vAlign w:val="center"/>
            <w:hideMark/>
          </w:tcPr>
          <w:p w14:paraId="70614C40" w14:textId="77777777" w:rsidR="0067324B" w:rsidRPr="00EE10BC" w:rsidRDefault="0067324B" w:rsidP="00C014EC">
            <w:pPr>
              <w:keepNext/>
              <w:spacing w:after="100" w:afterAutospacing="1"/>
              <w:rPr>
                <w:rFonts w:ascii="Arial" w:hAnsi="Arial" w:cs="Arial"/>
                <w:color w:val="000000"/>
                <w:sz w:val="16"/>
                <w:szCs w:val="16"/>
              </w:rPr>
            </w:pPr>
            <w:r w:rsidRPr="00EE10BC">
              <w:rPr>
                <w:rFonts w:ascii="Arial" w:hAnsi="Arial" w:cs="Arial"/>
                <w:color w:val="000000"/>
                <w:sz w:val="16"/>
                <w:szCs w:val="16"/>
              </w:rPr>
              <w:t>Escenario 3: Optimista</w:t>
            </w:r>
          </w:p>
        </w:tc>
        <w:tc>
          <w:tcPr>
            <w:tcW w:w="2592" w:type="dxa"/>
            <w:noWrap/>
            <w:vAlign w:val="center"/>
            <w:hideMark/>
          </w:tcPr>
          <w:p w14:paraId="5FB72DAE" w14:textId="68265EB9" w:rsidR="0067324B" w:rsidRPr="00210A53" w:rsidRDefault="0067324B" w:rsidP="00C014EC">
            <w:pPr>
              <w:keepNext/>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90</w:t>
            </w:r>
            <w:r w:rsidRPr="00EE10BC">
              <w:rPr>
                <w:rFonts w:ascii="Arial" w:hAnsi="Arial" w:cs="Arial"/>
                <w:sz w:val="16"/>
                <w:szCs w:val="16"/>
              </w:rPr>
              <w:t>%</w:t>
            </w:r>
          </w:p>
        </w:tc>
      </w:tr>
    </w:tbl>
    <w:p w14:paraId="3A0C7D1D" w14:textId="77777777" w:rsidR="0067324B" w:rsidRPr="00210A53" w:rsidRDefault="0067324B" w:rsidP="0067324B">
      <w:pPr>
        <w:rPr>
          <w:rFonts w:ascii="Arial" w:hAnsi="Arial" w:cs="Arial"/>
        </w:rPr>
      </w:pPr>
    </w:p>
    <w:p w14:paraId="0C28910A" w14:textId="77777777" w:rsidR="0067324B" w:rsidRPr="00210A53" w:rsidRDefault="0067324B" w:rsidP="0067324B">
      <w:pPr>
        <w:rPr>
          <w:rFonts w:ascii="Arial" w:hAnsi="Arial" w:cs="Arial"/>
        </w:rPr>
      </w:pPr>
    </w:p>
    <w:p w14:paraId="0B50D566" w14:textId="77777777" w:rsidR="0067324B" w:rsidRPr="00210A53" w:rsidRDefault="0067324B" w:rsidP="0067324B">
      <w:pPr>
        <w:rPr>
          <w:rFonts w:ascii="Arial" w:hAnsi="Arial" w:cs="Arial"/>
        </w:rPr>
      </w:pPr>
    </w:p>
    <w:p w14:paraId="6D4AAF26" w14:textId="77777777" w:rsidR="0067324B" w:rsidRPr="00210A53" w:rsidRDefault="0067324B" w:rsidP="0067324B">
      <w:pPr>
        <w:rPr>
          <w:rFonts w:ascii="Arial" w:hAnsi="Arial" w:cs="Arial"/>
        </w:rPr>
      </w:pPr>
    </w:p>
    <w:p w14:paraId="652E3BCA" w14:textId="77777777" w:rsidR="0067324B" w:rsidRPr="00210A53" w:rsidRDefault="0067324B" w:rsidP="0067324B">
      <w:pPr>
        <w:keepNext/>
        <w:jc w:val="center"/>
        <w:rPr>
          <w:rFonts w:ascii="Arial" w:hAnsi="Arial" w:cs="Arial"/>
          <w:sz w:val="18"/>
          <w:szCs w:val="16"/>
        </w:rPr>
      </w:pPr>
      <w:r>
        <w:rPr>
          <w:rFonts w:ascii="Arial" w:hAnsi="Arial" w:cs="Arial"/>
          <w:sz w:val="18"/>
          <w:szCs w:val="16"/>
        </w:rPr>
        <w:br/>
      </w:r>
      <w:r w:rsidRPr="00210A53">
        <w:rPr>
          <w:rFonts w:ascii="Arial" w:hAnsi="Arial" w:cs="Arial"/>
          <w:sz w:val="18"/>
          <w:szCs w:val="16"/>
        </w:rPr>
        <w:t>Fuente: Elaboración de los autores.</w:t>
      </w:r>
    </w:p>
    <w:p w14:paraId="24C5747E" w14:textId="39B89F4E" w:rsidR="009167FD" w:rsidRPr="0067324B" w:rsidRDefault="009167FD" w:rsidP="0067324B">
      <w:pPr>
        <w:pStyle w:val="Caption"/>
        <w:rPr>
          <w:sz w:val="22"/>
          <w:szCs w:val="22"/>
          <w:lang w:val="es-419"/>
        </w:rPr>
      </w:pPr>
    </w:p>
    <w:p w14:paraId="083B2EB5" w14:textId="44359DEF" w:rsidR="009F1904" w:rsidRDefault="00313719" w:rsidP="009F1904">
      <w:pPr>
        <w:autoSpaceDE w:val="0"/>
        <w:autoSpaceDN w:val="0"/>
        <w:adjustRightInd w:val="0"/>
        <w:jc w:val="both"/>
        <w:rPr>
          <w:rFonts w:ascii="Arial" w:hAnsi="Arial" w:cs="Arial"/>
          <w:sz w:val="22"/>
          <w:szCs w:val="22"/>
          <w:lang w:val="es-ES"/>
        </w:rPr>
      </w:pPr>
      <w:r>
        <w:rPr>
          <w:rFonts w:ascii="Arial" w:hAnsi="Arial" w:cs="Arial"/>
          <w:sz w:val="22"/>
          <w:szCs w:val="22"/>
        </w:rPr>
        <w:t>Para asignar un valor monetario a</w:t>
      </w:r>
      <w:r w:rsidR="001822AB">
        <w:rPr>
          <w:rFonts w:ascii="Arial" w:hAnsi="Arial" w:cs="Arial"/>
          <w:sz w:val="22"/>
          <w:szCs w:val="22"/>
        </w:rPr>
        <w:t xml:space="preserve"> la transformación digital, se calcula el ahorro en camas, imágenes diagnósticas y admisión </w:t>
      </w:r>
      <w:r w:rsidR="004005A7">
        <w:rPr>
          <w:rFonts w:ascii="Arial" w:hAnsi="Arial" w:cs="Arial"/>
          <w:sz w:val="22"/>
          <w:szCs w:val="22"/>
        </w:rPr>
        <w:t>al hospital</w:t>
      </w:r>
      <w:r>
        <w:rPr>
          <w:rFonts w:ascii="Arial" w:hAnsi="Arial" w:cs="Arial"/>
          <w:sz w:val="22"/>
          <w:szCs w:val="22"/>
        </w:rPr>
        <w:t xml:space="preserve">. Así como con el componente 1 y 2, valoramos la productividad utilizando el PIB per cápita en dólares corrientes de Brasil de acuerdo con las estimaciones del </w:t>
      </w:r>
      <w:proofErr w:type="spellStart"/>
      <w:r w:rsidRPr="0066743E">
        <w:rPr>
          <w:rFonts w:ascii="Arial" w:hAnsi="Arial" w:cs="Arial"/>
          <w:i/>
          <w:sz w:val="22"/>
          <w:szCs w:val="22"/>
          <w:lang w:val="es-ES"/>
        </w:rPr>
        <w:t>World</w:t>
      </w:r>
      <w:proofErr w:type="spellEnd"/>
      <w:r w:rsidRPr="0066743E">
        <w:rPr>
          <w:rFonts w:ascii="Arial" w:hAnsi="Arial" w:cs="Arial"/>
          <w:i/>
          <w:sz w:val="22"/>
          <w:szCs w:val="22"/>
          <w:lang w:val="es-ES"/>
        </w:rPr>
        <w:t xml:space="preserve"> </w:t>
      </w:r>
      <w:proofErr w:type="spellStart"/>
      <w:r w:rsidRPr="0066743E">
        <w:rPr>
          <w:rFonts w:ascii="Arial" w:hAnsi="Arial" w:cs="Arial"/>
          <w:i/>
          <w:sz w:val="22"/>
          <w:szCs w:val="22"/>
          <w:lang w:val="es-ES"/>
        </w:rPr>
        <w:t>Economic</w:t>
      </w:r>
      <w:proofErr w:type="spellEnd"/>
      <w:r w:rsidRPr="0066743E">
        <w:rPr>
          <w:rFonts w:ascii="Arial" w:hAnsi="Arial" w:cs="Arial"/>
          <w:i/>
          <w:sz w:val="22"/>
          <w:szCs w:val="22"/>
          <w:lang w:val="es-ES"/>
        </w:rPr>
        <w:t xml:space="preserve"> Outlook</w:t>
      </w:r>
      <w:r w:rsidRPr="0066743E">
        <w:rPr>
          <w:rFonts w:ascii="Arial" w:hAnsi="Arial" w:cs="Arial"/>
          <w:sz w:val="22"/>
          <w:szCs w:val="22"/>
          <w:lang w:val="es-ES"/>
        </w:rPr>
        <w:t xml:space="preserve"> (actualización de abril de 2018) del Fondo Monetario Internacional (FMI)</w:t>
      </w:r>
      <w:r>
        <w:rPr>
          <w:rFonts w:ascii="Arial" w:hAnsi="Arial" w:cs="Arial"/>
          <w:sz w:val="22"/>
          <w:szCs w:val="22"/>
          <w:lang w:val="es-ES"/>
        </w:rPr>
        <w:t xml:space="preserve">. </w:t>
      </w:r>
      <w:r w:rsidR="009F1904">
        <w:rPr>
          <w:rFonts w:ascii="Arial" w:hAnsi="Arial" w:cs="Arial"/>
          <w:sz w:val="22"/>
          <w:szCs w:val="22"/>
          <w:lang w:val="es-ES"/>
        </w:rPr>
        <w:t xml:space="preserve"> </w:t>
      </w:r>
    </w:p>
    <w:p w14:paraId="5CDBFC21" w14:textId="77777777" w:rsidR="009F1904" w:rsidRDefault="009F1904" w:rsidP="009F1904">
      <w:pPr>
        <w:autoSpaceDE w:val="0"/>
        <w:autoSpaceDN w:val="0"/>
        <w:adjustRightInd w:val="0"/>
        <w:jc w:val="both"/>
        <w:rPr>
          <w:rFonts w:ascii="Arial" w:hAnsi="Arial" w:cs="Arial"/>
          <w:sz w:val="22"/>
          <w:szCs w:val="22"/>
          <w:lang w:val="es-ES"/>
        </w:rPr>
      </w:pPr>
    </w:p>
    <w:p w14:paraId="027D3F27" w14:textId="61F3260C" w:rsidR="00DE67CC" w:rsidRDefault="009F1904" w:rsidP="00126D28">
      <w:pPr>
        <w:autoSpaceDE w:val="0"/>
        <w:autoSpaceDN w:val="0"/>
        <w:adjustRightInd w:val="0"/>
        <w:jc w:val="both"/>
        <w:rPr>
          <w:rFonts w:ascii="Arial" w:hAnsi="Arial" w:cs="Arial"/>
          <w:sz w:val="22"/>
          <w:szCs w:val="22"/>
        </w:rPr>
      </w:pPr>
      <w:r w:rsidRPr="0089592F">
        <w:rPr>
          <w:rFonts w:ascii="Arial" w:hAnsi="Arial" w:cs="Arial"/>
          <w:sz w:val="22"/>
          <w:szCs w:val="22"/>
        </w:rPr>
        <w:t>Se espera que los beneficios de las inversiones empiecen a observarse a partir de 202</w:t>
      </w:r>
      <w:r w:rsidR="005053D4" w:rsidRPr="0089592F">
        <w:rPr>
          <w:rFonts w:ascii="Arial" w:hAnsi="Arial" w:cs="Arial"/>
          <w:sz w:val="22"/>
          <w:szCs w:val="22"/>
        </w:rPr>
        <w:t>5</w:t>
      </w:r>
      <w:r w:rsidRPr="0089592F">
        <w:rPr>
          <w:rFonts w:ascii="Arial" w:hAnsi="Arial" w:cs="Arial"/>
          <w:sz w:val="22"/>
          <w:szCs w:val="22"/>
        </w:rPr>
        <w:t>, y se prevé que al inicio de la intervención se obtenga un porcentaje medio-alto de los beneficios potenciales y que a medida que se concluyen más intervenciones y se internalizan las mejores de la red de salud se obtenga una mayor proporción de los beneficios. Se utilizan 3 vectores de</w:t>
      </w:r>
      <w:r w:rsidRPr="00210A53">
        <w:rPr>
          <w:rFonts w:ascii="Arial" w:hAnsi="Arial" w:cs="Arial"/>
          <w:sz w:val="22"/>
          <w:szCs w:val="22"/>
        </w:rPr>
        <w:t xml:space="preserve"> gradualidad (lento, regular y rápido) que se representan en la Figura 2. Dado que se prevé que al final del desembolso del préstamo en 202</w:t>
      </w:r>
      <w:r>
        <w:rPr>
          <w:rFonts w:ascii="Arial" w:hAnsi="Arial" w:cs="Arial"/>
          <w:sz w:val="22"/>
          <w:szCs w:val="22"/>
        </w:rPr>
        <w:t>6</w:t>
      </w:r>
      <w:r w:rsidRPr="00210A53">
        <w:rPr>
          <w:rFonts w:ascii="Arial" w:hAnsi="Arial" w:cs="Arial"/>
          <w:sz w:val="22"/>
          <w:szCs w:val="22"/>
        </w:rPr>
        <w:t xml:space="preserve"> no se hayan obtenido todos los beneficios del programa, </w:t>
      </w:r>
      <w:r w:rsidR="007E72D6">
        <w:rPr>
          <w:rFonts w:ascii="Arial" w:hAnsi="Arial" w:cs="Arial"/>
          <w:sz w:val="22"/>
          <w:szCs w:val="22"/>
        </w:rPr>
        <w:t>se puede observar</w:t>
      </w:r>
      <w:r w:rsidRPr="00210A53">
        <w:rPr>
          <w:rFonts w:ascii="Arial" w:hAnsi="Arial" w:cs="Arial"/>
          <w:sz w:val="22"/>
          <w:szCs w:val="22"/>
        </w:rPr>
        <w:t xml:space="preserve"> </w:t>
      </w:r>
      <w:r w:rsidR="007E72D6">
        <w:rPr>
          <w:rFonts w:ascii="Arial" w:hAnsi="Arial" w:cs="Arial"/>
          <w:sz w:val="22"/>
          <w:szCs w:val="22"/>
        </w:rPr>
        <w:t>le periodo</w:t>
      </w:r>
      <w:r w:rsidRPr="00210A53">
        <w:rPr>
          <w:rFonts w:ascii="Arial" w:hAnsi="Arial" w:cs="Arial"/>
          <w:sz w:val="22"/>
          <w:szCs w:val="22"/>
        </w:rPr>
        <w:t xml:space="preserve"> de 20</w:t>
      </w:r>
      <w:r>
        <w:rPr>
          <w:rFonts w:ascii="Arial" w:hAnsi="Arial" w:cs="Arial"/>
          <w:sz w:val="22"/>
          <w:szCs w:val="22"/>
        </w:rPr>
        <w:t>27</w:t>
      </w:r>
      <w:r w:rsidRPr="00210A53">
        <w:rPr>
          <w:rFonts w:ascii="Arial" w:hAnsi="Arial" w:cs="Arial"/>
          <w:sz w:val="22"/>
          <w:szCs w:val="22"/>
        </w:rPr>
        <w:t xml:space="preserve"> a 20</w:t>
      </w:r>
      <w:r>
        <w:rPr>
          <w:rFonts w:ascii="Arial" w:hAnsi="Arial" w:cs="Arial"/>
          <w:sz w:val="22"/>
          <w:szCs w:val="22"/>
        </w:rPr>
        <w:t>3</w:t>
      </w:r>
      <w:r w:rsidR="00CB29A2">
        <w:rPr>
          <w:rFonts w:ascii="Arial" w:hAnsi="Arial" w:cs="Arial"/>
          <w:sz w:val="22"/>
          <w:szCs w:val="22"/>
        </w:rPr>
        <w:t>2</w:t>
      </w:r>
      <w:r w:rsidRPr="00210A53">
        <w:rPr>
          <w:rFonts w:ascii="Arial" w:hAnsi="Arial" w:cs="Arial"/>
          <w:sz w:val="22"/>
          <w:szCs w:val="22"/>
        </w:rPr>
        <w:t xml:space="preserve">. </w:t>
      </w:r>
    </w:p>
    <w:p w14:paraId="5A7DE32F" w14:textId="77777777" w:rsidR="00126D28" w:rsidRPr="00126D28" w:rsidRDefault="00126D28" w:rsidP="00126D28">
      <w:pPr>
        <w:autoSpaceDE w:val="0"/>
        <w:autoSpaceDN w:val="0"/>
        <w:adjustRightInd w:val="0"/>
        <w:jc w:val="both"/>
        <w:rPr>
          <w:rFonts w:ascii="Arial" w:hAnsi="Arial" w:cs="Arial"/>
          <w:sz w:val="22"/>
          <w:szCs w:val="22"/>
        </w:rPr>
      </w:pPr>
    </w:p>
    <w:p w14:paraId="22CAB515" w14:textId="32BD2E3E" w:rsidR="009F1904" w:rsidRDefault="009F1904" w:rsidP="00C127AC">
      <w:pPr>
        <w:pStyle w:val="Caption"/>
        <w:keepNext/>
        <w:keepLines/>
      </w:pPr>
      <w:r w:rsidRPr="0089592F">
        <w:t xml:space="preserve">Figura </w:t>
      </w:r>
      <w:r w:rsidRPr="0089592F">
        <w:fldChar w:fldCharType="begin"/>
      </w:r>
      <w:r w:rsidRPr="0089592F">
        <w:instrText xml:space="preserve"> SEQ Figura \* ARABIC </w:instrText>
      </w:r>
      <w:r w:rsidRPr="0089592F">
        <w:fldChar w:fldCharType="separate"/>
      </w:r>
      <w:r w:rsidR="00987350" w:rsidRPr="0089592F">
        <w:rPr>
          <w:noProof/>
        </w:rPr>
        <w:t>3</w:t>
      </w:r>
      <w:r w:rsidRPr="0089592F">
        <w:fldChar w:fldCharType="end"/>
      </w:r>
      <w:r w:rsidRPr="0089592F">
        <w:t>. Vectores de gradualidad para obtener los beneficios del programa</w:t>
      </w:r>
    </w:p>
    <w:p w14:paraId="5591B095" w14:textId="08A9E984" w:rsidR="009F1904" w:rsidRPr="00C127AC" w:rsidRDefault="009F1904" w:rsidP="00C127AC">
      <w:pPr>
        <w:keepNext/>
        <w:keepLines/>
        <w:rPr>
          <w:rFonts w:ascii="Arial" w:hAnsi="Arial" w:cs="Arial"/>
          <w:noProof/>
          <w:sz w:val="16"/>
          <w:szCs w:val="16"/>
        </w:rPr>
      </w:pPr>
    </w:p>
    <w:p w14:paraId="7970170F" w14:textId="3A7B77F5" w:rsidR="009F1904" w:rsidRPr="00D91524" w:rsidRDefault="00202F46" w:rsidP="008A38C4">
      <w:pPr>
        <w:keepNext/>
        <w:keepLines/>
        <w:jc w:val="center"/>
      </w:pPr>
      <w:r>
        <w:rPr>
          <w:noProof/>
        </w:rPr>
        <w:drawing>
          <wp:inline distT="0" distB="0" distL="0" distR="0" wp14:anchorId="1787CAAD" wp14:editId="0069BDB8">
            <wp:extent cx="5260538" cy="20299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60538" cy="2029968"/>
                    </a:xfrm>
                    <a:prstGeom prst="rect">
                      <a:avLst/>
                    </a:prstGeom>
                    <a:noFill/>
                  </pic:spPr>
                </pic:pic>
              </a:graphicData>
            </a:graphic>
          </wp:inline>
        </w:drawing>
      </w:r>
    </w:p>
    <w:p w14:paraId="513028AF" w14:textId="77777777" w:rsidR="009F1904" w:rsidRDefault="009F1904" w:rsidP="009F1904">
      <w:pPr>
        <w:jc w:val="center"/>
        <w:rPr>
          <w:rFonts w:ascii="Arial" w:hAnsi="Arial" w:cs="Arial"/>
          <w:sz w:val="18"/>
        </w:rPr>
      </w:pPr>
    </w:p>
    <w:p w14:paraId="3F959246" w14:textId="77777777" w:rsidR="009F1904" w:rsidRPr="00210A53" w:rsidRDefault="009F1904" w:rsidP="009F1904">
      <w:pPr>
        <w:jc w:val="center"/>
        <w:rPr>
          <w:rFonts w:ascii="Arial" w:hAnsi="Arial" w:cs="Arial"/>
          <w:sz w:val="18"/>
        </w:rPr>
      </w:pPr>
      <w:r w:rsidRPr="00210A53">
        <w:rPr>
          <w:rFonts w:ascii="Arial" w:hAnsi="Arial" w:cs="Arial"/>
          <w:sz w:val="18"/>
        </w:rPr>
        <w:t>Fuente: Elaboración de los autores.</w:t>
      </w:r>
    </w:p>
    <w:p w14:paraId="7473EABB" w14:textId="77777777" w:rsidR="00FC5189" w:rsidRDefault="00FC5189" w:rsidP="00892CF3">
      <w:pPr>
        <w:autoSpaceDE w:val="0"/>
        <w:autoSpaceDN w:val="0"/>
        <w:adjustRightInd w:val="0"/>
        <w:jc w:val="both"/>
        <w:rPr>
          <w:rFonts w:ascii="Arial" w:hAnsi="Arial" w:cs="Arial"/>
          <w:sz w:val="22"/>
          <w:szCs w:val="22"/>
        </w:rPr>
      </w:pPr>
    </w:p>
    <w:p w14:paraId="2D710F5E" w14:textId="77777777" w:rsidR="007F2556" w:rsidRDefault="00FC5189" w:rsidP="007F2556">
      <w:pPr>
        <w:autoSpaceDE w:val="0"/>
        <w:autoSpaceDN w:val="0"/>
        <w:adjustRightInd w:val="0"/>
        <w:jc w:val="both"/>
        <w:rPr>
          <w:rFonts w:ascii="Arial" w:hAnsi="Arial" w:cs="Arial"/>
          <w:sz w:val="22"/>
          <w:szCs w:val="22"/>
          <w:lang w:val="es-ES"/>
        </w:rPr>
      </w:pPr>
      <w:r>
        <w:rPr>
          <w:rFonts w:ascii="Arial" w:hAnsi="Arial" w:cs="Arial"/>
          <w:sz w:val="22"/>
          <w:szCs w:val="22"/>
        </w:rPr>
        <w:lastRenderedPageBreak/>
        <w:t>De igual formar, se incluye</w:t>
      </w:r>
      <w:r w:rsidRPr="0066743E">
        <w:rPr>
          <w:rFonts w:ascii="Arial" w:hAnsi="Arial" w:cs="Arial"/>
          <w:sz w:val="22"/>
          <w:szCs w:val="22"/>
          <w:lang w:val="es-ES"/>
        </w:rPr>
        <w:t xml:space="preserve"> cuatro escenarios de tasas de descuento</w:t>
      </w:r>
      <w:r w:rsidRPr="0066743E">
        <w:rPr>
          <w:rStyle w:val="FootnoteReference"/>
          <w:rFonts w:ascii="Arial" w:hAnsi="Arial" w:cs="Arial"/>
          <w:sz w:val="22"/>
          <w:szCs w:val="22"/>
          <w:lang w:val="es-ES"/>
        </w:rPr>
        <w:footnoteReference w:id="11"/>
      </w:r>
      <w:r w:rsidRPr="0066743E">
        <w:rPr>
          <w:rFonts w:ascii="Arial" w:hAnsi="Arial" w:cs="Arial"/>
          <w:sz w:val="22"/>
          <w:szCs w:val="22"/>
          <w:lang w:val="es-ES"/>
        </w:rPr>
        <w:t xml:space="preserve"> para evaluar la relación costo beneficio del programa, </w:t>
      </w:r>
      <w:r>
        <w:rPr>
          <w:rFonts w:ascii="Arial" w:hAnsi="Arial" w:cs="Arial"/>
          <w:sz w:val="22"/>
          <w:szCs w:val="22"/>
          <w:lang w:val="es-ES"/>
        </w:rPr>
        <w:t xml:space="preserve">pero </w:t>
      </w:r>
      <w:r w:rsidRPr="0066743E">
        <w:rPr>
          <w:rFonts w:ascii="Arial" w:hAnsi="Arial" w:cs="Arial"/>
          <w:sz w:val="22"/>
          <w:szCs w:val="22"/>
          <w:lang w:val="es-ES"/>
        </w:rPr>
        <w:t>se favorece utilizar la tasa de 3% que resulta más adecuada para evaluar proyectos sociales que la tasa de 12% que es comúnmente utilizada para evaluar proyectos de infraestructura de transporte o energía.</w:t>
      </w:r>
    </w:p>
    <w:p w14:paraId="45A46B41" w14:textId="77777777" w:rsidR="007F2556" w:rsidRDefault="007F2556" w:rsidP="007F2556">
      <w:pPr>
        <w:autoSpaceDE w:val="0"/>
        <w:autoSpaceDN w:val="0"/>
        <w:adjustRightInd w:val="0"/>
        <w:jc w:val="both"/>
        <w:rPr>
          <w:rFonts w:ascii="Arial" w:hAnsi="Arial" w:cs="Arial"/>
          <w:sz w:val="22"/>
          <w:szCs w:val="22"/>
          <w:lang w:val="es-ES"/>
        </w:rPr>
      </w:pPr>
    </w:p>
    <w:p w14:paraId="1DE6C1BF" w14:textId="671D0880" w:rsidR="007F2556" w:rsidRDefault="007F2556" w:rsidP="007F2556">
      <w:pPr>
        <w:autoSpaceDE w:val="0"/>
        <w:autoSpaceDN w:val="0"/>
        <w:adjustRightInd w:val="0"/>
        <w:jc w:val="both"/>
        <w:rPr>
          <w:rFonts w:ascii="Arial" w:hAnsi="Arial" w:cs="Arial"/>
          <w:sz w:val="22"/>
          <w:szCs w:val="22"/>
        </w:rPr>
      </w:pPr>
      <w:r w:rsidRPr="00210A53">
        <w:rPr>
          <w:rFonts w:ascii="Arial" w:hAnsi="Arial" w:cs="Arial"/>
          <w:sz w:val="22"/>
          <w:szCs w:val="22"/>
        </w:rPr>
        <w:t xml:space="preserve">Las ganancias económicas del programa están dadas </w:t>
      </w:r>
      <w:r w:rsidR="00424CDE" w:rsidRPr="00424CDE">
        <w:rPr>
          <w:rFonts w:ascii="Arial" w:hAnsi="Arial" w:cs="Arial"/>
          <w:sz w:val="22"/>
          <w:szCs w:val="22"/>
        </w:rPr>
        <w:t>ahorro anual per cápita en dólares y en camas ocupadas al reducir las admisiones al hospital, y el ahorro en el número de imágenes diagnósticas</w:t>
      </w:r>
      <w:r w:rsidRPr="00210A53">
        <w:rPr>
          <w:rFonts w:ascii="Arial" w:hAnsi="Arial" w:cs="Arial"/>
          <w:sz w:val="22"/>
          <w:szCs w:val="22"/>
        </w:rPr>
        <w:t xml:space="preserve">. Posteriormente </w:t>
      </w:r>
      <w:r w:rsidR="00832975">
        <w:rPr>
          <w:rFonts w:ascii="Arial" w:hAnsi="Arial" w:cs="Arial"/>
          <w:sz w:val="22"/>
          <w:szCs w:val="22"/>
        </w:rPr>
        <w:t>ajustados por los diferentes escenarios</w:t>
      </w:r>
      <w:r w:rsidRPr="00210A53">
        <w:rPr>
          <w:rFonts w:ascii="Arial" w:hAnsi="Arial" w:cs="Arial"/>
          <w:sz w:val="22"/>
          <w:szCs w:val="22"/>
        </w:rPr>
        <w:t xml:space="preserve"> y por los vectores de gradualidad que afectan a todas las capas de intervención por igual.</w:t>
      </w:r>
    </w:p>
    <w:p w14:paraId="4BA0DB36" w14:textId="77777777" w:rsidR="00832975" w:rsidRPr="007F2556" w:rsidRDefault="00832975" w:rsidP="007F2556">
      <w:pPr>
        <w:autoSpaceDE w:val="0"/>
        <w:autoSpaceDN w:val="0"/>
        <w:adjustRightInd w:val="0"/>
        <w:jc w:val="both"/>
        <w:rPr>
          <w:rFonts w:ascii="Arial" w:hAnsi="Arial" w:cs="Arial"/>
          <w:sz w:val="22"/>
          <w:szCs w:val="22"/>
          <w:lang w:val="es-ES"/>
        </w:rPr>
      </w:pPr>
    </w:p>
    <w:p w14:paraId="38A372DC" w14:textId="30B00B2A" w:rsidR="007F2556" w:rsidRPr="00210A53" w:rsidRDefault="007F2556" w:rsidP="007F2556">
      <w:pPr>
        <w:pStyle w:val="Caption"/>
      </w:pPr>
      <w:r w:rsidRPr="00D64AE7">
        <w:t xml:space="preserve">Tabla </w:t>
      </w:r>
      <w:r w:rsidRPr="00D64AE7">
        <w:fldChar w:fldCharType="begin"/>
      </w:r>
      <w:r w:rsidRPr="00D64AE7">
        <w:instrText xml:space="preserve"> SEQ Tabla \* ARABIC </w:instrText>
      </w:r>
      <w:r w:rsidRPr="00D64AE7">
        <w:fldChar w:fldCharType="separate"/>
      </w:r>
      <w:r w:rsidR="00987350" w:rsidRPr="00D64AE7">
        <w:rPr>
          <w:noProof/>
        </w:rPr>
        <w:t>8</w:t>
      </w:r>
      <w:r w:rsidRPr="00D64AE7">
        <w:fldChar w:fldCharType="end"/>
      </w:r>
      <w:r w:rsidRPr="00D64AE7">
        <w:t>. An</w:t>
      </w:r>
      <w:r w:rsidRPr="00D64AE7">
        <w:rPr>
          <w:rFonts w:eastAsia="Calibri"/>
        </w:rPr>
        <w:t>álisis</w:t>
      </w:r>
      <w:r w:rsidRPr="00D64AE7">
        <w:t xml:space="preserve"> </w:t>
      </w:r>
      <w:r w:rsidRPr="00D64AE7">
        <w:rPr>
          <w:rFonts w:eastAsia="Calibri"/>
        </w:rPr>
        <w:t>de</w:t>
      </w:r>
      <w:r w:rsidRPr="00D64AE7">
        <w:t xml:space="preserve"> </w:t>
      </w:r>
      <w:r w:rsidRPr="00D64AE7">
        <w:rPr>
          <w:rFonts w:eastAsia="Calibri"/>
        </w:rPr>
        <w:t>sensibilidad</w:t>
      </w:r>
      <w:r w:rsidRPr="00D64AE7">
        <w:t xml:space="preserve"> de los beneficios en d</w:t>
      </w:r>
      <w:r w:rsidRPr="00D64AE7">
        <w:rPr>
          <w:rFonts w:eastAsia="Calibri"/>
        </w:rPr>
        <w:t>ólares</w:t>
      </w:r>
      <w:r w:rsidRPr="00D64AE7">
        <w:t>, periodo 202</w:t>
      </w:r>
      <w:r w:rsidR="00987350" w:rsidRPr="00D64AE7">
        <w:t>2</w:t>
      </w:r>
      <w:r w:rsidRPr="00D64AE7">
        <w:t>-202</w:t>
      </w:r>
      <w:r w:rsidR="00987350" w:rsidRPr="00D64AE7">
        <w:t>7</w:t>
      </w:r>
      <w:r>
        <w:br/>
      </w:r>
    </w:p>
    <w:tbl>
      <w:tblPr>
        <w:tblStyle w:val="PlainTable2"/>
        <w:tblW w:w="0" w:type="auto"/>
        <w:jc w:val="center"/>
        <w:tblLayout w:type="fixed"/>
        <w:tblLook w:val="04A0" w:firstRow="1" w:lastRow="0" w:firstColumn="1" w:lastColumn="0" w:noHBand="0" w:noVBand="1"/>
      </w:tblPr>
      <w:tblGrid>
        <w:gridCol w:w="1296"/>
        <w:gridCol w:w="1728"/>
        <w:gridCol w:w="1152"/>
        <w:gridCol w:w="1152"/>
        <w:gridCol w:w="1152"/>
        <w:gridCol w:w="1152"/>
      </w:tblGrid>
      <w:tr w:rsidR="007F2556" w:rsidRPr="00987350" w14:paraId="4B0913D4" w14:textId="77777777" w:rsidTr="00C014E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Merge w:val="restart"/>
            <w:shd w:val="clear" w:color="auto" w:fill="F2F2F2" w:themeFill="background1" w:themeFillShade="F2"/>
            <w:vAlign w:val="center"/>
          </w:tcPr>
          <w:p w14:paraId="717A3DC8" w14:textId="77777777" w:rsidR="007F2556" w:rsidRPr="00987350" w:rsidRDefault="007F2556" w:rsidP="00C014EC">
            <w:pPr>
              <w:keepNext/>
              <w:spacing w:after="100" w:afterAutospacing="1"/>
              <w:jc w:val="center"/>
              <w:rPr>
                <w:rFonts w:ascii="Arial" w:hAnsi="Arial" w:cs="Arial"/>
                <w:color w:val="000000"/>
                <w:sz w:val="16"/>
                <w:szCs w:val="16"/>
              </w:rPr>
            </w:pPr>
            <w:r w:rsidRPr="00987350">
              <w:rPr>
                <w:rFonts w:ascii="Arial" w:hAnsi="Arial" w:cs="Arial"/>
                <w:color w:val="000000"/>
                <w:sz w:val="16"/>
                <w:szCs w:val="16"/>
              </w:rPr>
              <w:t>Vectores de gradualidad</w:t>
            </w:r>
          </w:p>
        </w:tc>
        <w:tc>
          <w:tcPr>
            <w:tcW w:w="1728" w:type="dxa"/>
            <w:vMerge w:val="restart"/>
            <w:shd w:val="clear" w:color="auto" w:fill="F2F2F2" w:themeFill="background1" w:themeFillShade="F2"/>
            <w:vAlign w:val="center"/>
          </w:tcPr>
          <w:p w14:paraId="79A11604" w14:textId="5FA7A33E" w:rsidR="007F2556" w:rsidRPr="00987350" w:rsidRDefault="007F2556" w:rsidP="00C014EC">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Escenarios</w:t>
            </w:r>
          </w:p>
        </w:tc>
        <w:tc>
          <w:tcPr>
            <w:tcW w:w="4608" w:type="dxa"/>
            <w:gridSpan w:val="4"/>
            <w:shd w:val="clear" w:color="auto" w:fill="F2F2F2" w:themeFill="background1" w:themeFillShade="F2"/>
            <w:noWrap/>
            <w:vAlign w:val="center"/>
          </w:tcPr>
          <w:p w14:paraId="33D69B1A" w14:textId="77777777" w:rsidR="007F2556" w:rsidRPr="00987350" w:rsidRDefault="007F2556" w:rsidP="00C014EC">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Tasa de descuento</w:t>
            </w:r>
          </w:p>
        </w:tc>
      </w:tr>
      <w:tr w:rsidR="007F2556" w:rsidRPr="00987350" w14:paraId="551EDCB4" w14:textId="77777777" w:rsidTr="00C014E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Merge/>
            <w:shd w:val="clear" w:color="auto" w:fill="F2F2F2" w:themeFill="background1" w:themeFillShade="F2"/>
            <w:vAlign w:val="center"/>
            <w:hideMark/>
          </w:tcPr>
          <w:p w14:paraId="364A8E9F" w14:textId="77777777" w:rsidR="007F2556" w:rsidRPr="00987350" w:rsidRDefault="007F2556" w:rsidP="00C014EC">
            <w:pPr>
              <w:keepNext/>
              <w:spacing w:after="100" w:afterAutospacing="1"/>
              <w:jc w:val="center"/>
              <w:rPr>
                <w:rFonts w:ascii="Arial" w:hAnsi="Arial" w:cs="Arial"/>
                <w:color w:val="000000"/>
                <w:sz w:val="16"/>
                <w:szCs w:val="16"/>
              </w:rPr>
            </w:pPr>
          </w:p>
        </w:tc>
        <w:tc>
          <w:tcPr>
            <w:tcW w:w="1728" w:type="dxa"/>
            <w:vMerge/>
            <w:shd w:val="clear" w:color="auto" w:fill="F2F2F2" w:themeFill="background1" w:themeFillShade="F2"/>
            <w:vAlign w:val="center"/>
            <w:hideMark/>
          </w:tcPr>
          <w:p w14:paraId="654E4519" w14:textId="77777777" w:rsidR="007F2556" w:rsidRPr="00987350" w:rsidRDefault="007F2556"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p>
        </w:tc>
        <w:tc>
          <w:tcPr>
            <w:tcW w:w="1152" w:type="dxa"/>
            <w:shd w:val="clear" w:color="auto" w:fill="F2F2F2" w:themeFill="background1" w:themeFillShade="F2"/>
            <w:noWrap/>
            <w:vAlign w:val="center"/>
            <w:hideMark/>
          </w:tcPr>
          <w:p w14:paraId="06BDBA09" w14:textId="77777777" w:rsidR="007F2556" w:rsidRPr="00987350" w:rsidRDefault="007F2556"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987350">
              <w:rPr>
                <w:rFonts w:ascii="Arial" w:hAnsi="Arial" w:cs="Arial"/>
                <w:b/>
                <w:bCs/>
                <w:color w:val="000000"/>
                <w:sz w:val="16"/>
                <w:szCs w:val="16"/>
              </w:rPr>
              <w:t>2%</w:t>
            </w:r>
          </w:p>
        </w:tc>
        <w:tc>
          <w:tcPr>
            <w:tcW w:w="1152" w:type="dxa"/>
            <w:shd w:val="clear" w:color="auto" w:fill="F2F2F2" w:themeFill="background1" w:themeFillShade="F2"/>
            <w:noWrap/>
            <w:vAlign w:val="center"/>
            <w:hideMark/>
          </w:tcPr>
          <w:p w14:paraId="3796989A" w14:textId="77777777" w:rsidR="007F2556" w:rsidRPr="00987350" w:rsidRDefault="007F2556"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987350">
              <w:rPr>
                <w:rFonts w:ascii="Arial" w:hAnsi="Arial" w:cs="Arial"/>
                <w:b/>
                <w:bCs/>
                <w:color w:val="000000"/>
                <w:sz w:val="16"/>
                <w:szCs w:val="16"/>
              </w:rPr>
              <w:t>3%</w:t>
            </w:r>
          </w:p>
        </w:tc>
        <w:tc>
          <w:tcPr>
            <w:tcW w:w="1152" w:type="dxa"/>
            <w:shd w:val="clear" w:color="auto" w:fill="F2F2F2" w:themeFill="background1" w:themeFillShade="F2"/>
            <w:noWrap/>
            <w:vAlign w:val="center"/>
            <w:hideMark/>
          </w:tcPr>
          <w:p w14:paraId="276921AA" w14:textId="77777777" w:rsidR="007F2556" w:rsidRPr="00987350" w:rsidRDefault="007F2556"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987350">
              <w:rPr>
                <w:rFonts w:ascii="Arial" w:hAnsi="Arial" w:cs="Arial"/>
                <w:b/>
                <w:bCs/>
                <w:color w:val="000000"/>
                <w:sz w:val="16"/>
                <w:szCs w:val="16"/>
              </w:rPr>
              <w:t>6%</w:t>
            </w:r>
          </w:p>
        </w:tc>
        <w:tc>
          <w:tcPr>
            <w:tcW w:w="1152" w:type="dxa"/>
            <w:shd w:val="clear" w:color="auto" w:fill="F2F2F2" w:themeFill="background1" w:themeFillShade="F2"/>
            <w:noWrap/>
            <w:vAlign w:val="center"/>
            <w:hideMark/>
          </w:tcPr>
          <w:p w14:paraId="073D48CF" w14:textId="77777777" w:rsidR="007F2556" w:rsidRPr="00987350" w:rsidRDefault="007F2556"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987350">
              <w:rPr>
                <w:rFonts w:ascii="Arial" w:hAnsi="Arial" w:cs="Arial"/>
                <w:b/>
                <w:bCs/>
                <w:color w:val="000000"/>
                <w:sz w:val="16"/>
                <w:szCs w:val="16"/>
              </w:rPr>
              <w:t>9%</w:t>
            </w:r>
          </w:p>
        </w:tc>
      </w:tr>
      <w:tr w:rsidR="00D51468" w:rsidRPr="00987350" w14:paraId="5E0F31AC" w14:textId="77777777" w:rsidTr="00C014EC">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1C05C560" w14:textId="77777777" w:rsidR="00D51468" w:rsidRPr="00987350" w:rsidRDefault="00D51468" w:rsidP="00D51468">
            <w:pPr>
              <w:keepNext/>
              <w:spacing w:after="100" w:afterAutospacing="1"/>
              <w:jc w:val="center"/>
              <w:rPr>
                <w:rFonts w:ascii="Arial" w:hAnsi="Arial" w:cs="Arial"/>
                <w:color w:val="000000"/>
                <w:sz w:val="16"/>
                <w:szCs w:val="16"/>
              </w:rPr>
            </w:pPr>
            <w:r w:rsidRPr="00987350">
              <w:rPr>
                <w:rFonts w:ascii="Arial" w:hAnsi="Arial" w:cs="Arial"/>
                <w:color w:val="000000"/>
                <w:sz w:val="16"/>
                <w:szCs w:val="16"/>
              </w:rPr>
              <w:t>Lento</w:t>
            </w:r>
          </w:p>
        </w:tc>
        <w:tc>
          <w:tcPr>
            <w:tcW w:w="1728" w:type="dxa"/>
            <w:noWrap/>
            <w:vAlign w:val="center"/>
            <w:hideMark/>
          </w:tcPr>
          <w:p w14:paraId="2471C181" w14:textId="77777777" w:rsidR="00D51468" w:rsidRPr="00987350"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Pesimista</w:t>
            </w:r>
          </w:p>
        </w:tc>
        <w:tc>
          <w:tcPr>
            <w:tcW w:w="1152" w:type="dxa"/>
            <w:noWrap/>
            <w:vAlign w:val="center"/>
            <w:hideMark/>
          </w:tcPr>
          <w:p w14:paraId="3B192C3C" w14:textId="4EC7C5B8"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9,742,896</w:t>
            </w:r>
          </w:p>
        </w:tc>
        <w:tc>
          <w:tcPr>
            <w:tcW w:w="1152" w:type="dxa"/>
            <w:noWrap/>
            <w:vAlign w:val="center"/>
            <w:hideMark/>
          </w:tcPr>
          <w:p w14:paraId="4FC2C061" w14:textId="49B624EE"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9,366,877</w:t>
            </w:r>
          </w:p>
        </w:tc>
        <w:tc>
          <w:tcPr>
            <w:tcW w:w="1152" w:type="dxa"/>
            <w:noWrap/>
            <w:vAlign w:val="center"/>
            <w:hideMark/>
          </w:tcPr>
          <w:p w14:paraId="7D5B271F" w14:textId="63037DDC"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8,347,504</w:t>
            </w:r>
          </w:p>
        </w:tc>
        <w:tc>
          <w:tcPr>
            <w:tcW w:w="1152" w:type="dxa"/>
            <w:noWrap/>
            <w:vAlign w:val="center"/>
            <w:hideMark/>
          </w:tcPr>
          <w:p w14:paraId="2CF8C0F5" w14:textId="5E987CF4"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7,469,639</w:t>
            </w:r>
          </w:p>
        </w:tc>
      </w:tr>
      <w:tr w:rsidR="00D51468" w:rsidRPr="00987350" w14:paraId="55AB771D" w14:textId="77777777" w:rsidTr="00C014E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07F175F2" w14:textId="77777777" w:rsidR="00D51468" w:rsidRPr="00987350" w:rsidRDefault="00D51468" w:rsidP="00D51468">
            <w:pPr>
              <w:keepNext/>
              <w:spacing w:after="100" w:afterAutospacing="1"/>
              <w:jc w:val="center"/>
              <w:rPr>
                <w:rFonts w:ascii="Arial" w:hAnsi="Arial" w:cs="Arial"/>
                <w:color w:val="000000"/>
                <w:sz w:val="16"/>
                <w:szCs w:val="16"/>
              </w:rPr>
            </w:pPr>
          </w:p>
        </w:tc>
        <w:tc>
          <w:tcPr>
            <w:tcW w:w="1728" w:type="dxa"/>
            <w:noWrap/>
            <w:vAlign w:val="center"/>
            <w:hideMark/>
          </w:tcPr>
          <w:p w14:paraId="55466BF3" w14:textId="77777777" w:rsidR="00D51468" w:rsidRPr="00987350"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Medio</w:t>
            </w:r>
          </w:p>
        </w:tc>
        <w:tc>
          <w:tcPr>
            <w:tcW w:w="1152" w:type="dxa"/>
            <w:noWrap/>
            <w:vAlign w:val="center"/>
            <w:hideMark/>
          </w:tcPr>
          <w:p w14:paraId="09A83B79" w14:textId="338C2AE3"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13,640,054</w:t>
            </w:r>
          </w:p>
        </w:tc>
        <w:tc>
          <w:tcPr>
            <w:tcW w:w="1152" w:type="dxa"/>
            <w:noWrap/>
            <w:vAlign w:val="center"/>
            <w:hideMark/>
          </w:tcPr>
          <w:p w14:paraId="15FE3D8B" w14:textId="35BB54B4"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13,113,628</w:t>
            </w:r>
          </w:p>
        </w:tc>
        <w:tc>
          <w:tcPr>
            <w:tcW w:w="1152" w:type="dxa"/>
            <w:noWrap/>
            <w:vAlign w:val="center"/>
            <w:hideMark/>
          </w:tcPr>
          <w:p w14:paraId="558BB3E5" w14:textId="0B87FDA5"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11,686,506</w:t>
            </w:r>
          </w:p>
        </w:tc>
        <w:tc>
          <w:tcPr>
            <w:tcW w:w="1152" w:type="dxa"/>
            <w:noWrap/>
            <w:vAlign w:val="center"/>
            <w:hideMark/>
          </w:tcPr>
          <w:p w14:paraId="6B812D15" w14:textId="3A3EB1E4"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10,457,494</w:t>
            </w:r>
          </w:p>
        </w:tc>
      </w:tr>
      <w:tr w:rsidR="00D51468" w:rsidRPr="00987350" w14:paraId="2156BCCD" w14:textId="77777777" w:rsidTr="00C014EC">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2E05705F" w14:textId="77777777" w:rsidR="00D51468" w:rsidRPr="00987350" w:rsidRDefault="00D51468" w:rsidP="00D51468">
            <w:pPr>
              <w:keepNext/>
              <w:spacing w:after="100" w:afterAutospacing="1"/>
              <w:jc w:val="center"/>
              <w:rPr>
                <w:rFonts w:ascii="Arial" w:hAnsi="Arial" w:cs="Arial"/>
                <w:color w:val="000000"/>
                <w:sz w:val="16"/>
                <w:szCs w:val="16"/>
              </w:rPr>
            </w:pPr>
          </w:p>
        </w:tc>
        <w:tc>
          <w:tcPr>
            <w:tcW w:w="1728" w:type="dxa"/>
            <w:noWrap/>
            <w:vAlign w:val="center"/>
            <w:hideMark/>
          </w:tcPr>
          <w:p w14:paraId="21B4C860" w14:textId="77777777" w:rsidR="00D51468" w:rsidRPr="00987350"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Optimista</w:t>
            </w:r>
          </w:p>
        </w:tc>
        <w:tc>
          <w:tcPr>
            <w:tcW w:w="1152" w:type="dxa"/>
            <w:noWrap/>
            <w:vAlign w:val="center"/>
            <w:hideMark/>
          </w:tcPr>
          <w:p w14:paraId="2F77D8E0" w14:textId="08FDDBB1"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17,537,212</w:t>
            </w:r>
          </w:p>
        </w:tc>
        <w:tc>
          <w:tcPr>
            <w:tcW w:w="1152" w:type="dxa"/>
            <w:noWrap/>
            <w:vAlign w:val="center"/>
            <w:hideMark/>
          </w:tcPr>
          <w:p w14:paraId="23C7E696" w14:textId="2C3BF0CF"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16,860,379</w:t>
            </w:r>
          </w:p>
        </w:tc>
        <w:tc>
          <w:tcPr>
            <w:tcW w:w="1152" w:type="dxa"/>
            <w:noWrap/>
            <w:vAlign w:val="center"/>
            <w:hideMark/>
          </w:tcPr>
          <w:p w14:paraId="46E5E0D5" w14:textId="05106A12"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15,025,508</w:t>
            </w:r>
          </w:p>
        </w:tc>
        <w:tc>
          <w:tcPr>
            <w:tcW w:w="1152" w:type="dxa"/>
            <w:noWrap/>
            <w:vAlign w:val="center"/>
            <w:hideMark/>
          </w:tcPr>
          <w:p w14:paraId="7BEF2B22" w14:textId="68F9DB96"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13,445,350</w:t>
            </w:r>
          </w:p>
        </w:tc>
      </w:tr>
      <w:tr w:rsidR="00D51468" w:rsidRPr="00987350" w14:paraId="5F1016D3" w14:textId="77777777" w:rsidTr="00C014E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1795CB48" w14:textId="77777777" w:rsidR="00D51468" w:rsidRPr="00987350" w:rsidRDefault="00D51468" w:rsidP="00D51468">
            <w:pPr>
              <w:keepNext/>
              <w:spacing w:after="100" w:afterAutospacing="1"/>
              <w:jc w:val="center"/>
              <w:rPr>
                <w:rFonts w:ascii="Arial" w:hAnsi="Arial" w:cs="Arial"/>
                <w:color w:val="000000"/>
                <w:sz w:val="16"/>
                <w:szCs w:val="16"/>
              </w:rPr>
            </w:pPr>
            <w:r w:rsidRPr="00987350">
              <w:rPr>
                <w:rFonts w:ascii="Arial" w:hAnsi="Arial" w:cs="Arial"/>
                <w:color w:val="000000"/>
                <w:sz w:val="16"/>
                <w:szCs w:val="16"/>
              </w:rPr>
              <w:t>Regular</w:t>
            </w:r>
          </w:p>
        </w:tc>
        <w:tc>
          <w:tcPr>
            <w:tcW w:w="1728" w:type="dxa"/>
            <w:noWrap/>
            <w:vAlign w:val="center"/>
            <w:hideMark/>
          </w:tcPr>
          <w:p w14:paraId="68A45595" w14:textId="77777777" w:rsidR="00D51468" w:rsidRPr="00987350"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Pesimista</w:t>
            </w:r>
          </w:p>
        </w:tc>
        <w:tc>
          <w:tcPr>
            <w:tcW w:w="1152" w:type="dxa"/>
            <w:noWrap/>
            <w:vAlign w:val="center"/>
            <w:hideMark/>
          </w:tcPr>
          <w:p w14:paraId="03741976" w14:textId="7FC6E894"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13,348,165</w:t>
            </w:r>
          </w:p>
        </w:tc>
        <w:tc>
          <w:tcPr>
            <w:tcW w:w="1152" w:type="dxa"/>
            <w:noWrap/>
            <w:vAlign w:val="center"/>
            <w:hideMark/>
          </w:tcPr>
          <w:p w14:paraId="18017FAA" w14:textId="73AE41C1"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12,878,227</w:t>
            </w:r>
          </w:p>
        </w:tc>
        <w:tc>
          <w:tcPr>
            <w:tcW w:w="1152" w:type="dxa"/>
            <w:noWrap/>
            <w:vAlign w:val="center"/>
            <w:hideMark/>
          </w:tcPr>
          <w:p w14:paraId="0C8B4E4A" w14:textId="26DCCBA2"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11,600,090</w:t>
            </w:r>
          </w:p>
        </w:tc>
        <w:tc>
          <w:tcPr>
            <w:tcW w:w="1152" w:type="dxa"/>
            <w:noWrap/>
            <w:vAlign w:val="center"/>
            <w:hideMark/>
          </w:tcPr>
          <w:p w14:paraId="574722D5" w14:textId="6FA21464"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10,493,792</w:t>
            </w:r>
          </w:p>
        </w:tc>
      </w:tr>
      <w:tr w:rsidR="00D51468" w:rsidRPr="00987350" w14:paraId="5D095DAF" w14:textId="77777777" w:rsidTr="00C014EC">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07488781" w14:textId="77777777" w:rsidR="00D51468" w:rsidRPr="00987350" w:rsidRDefault="00D51468" w:rsidP="00D51468">
            <w:pPr>
              <w:keepNext/>
              <w:spacing w:after="100" w:afterAutospacing="1"/>
              <w:jc w:val="center"/>
              <w:rPr>
                <w:rFonts w:ascii="Arial" w:hAnsi="Arial" w:cs="Arial"/>
                <w:b w:val="0"/>
                <w:color w:val="000000"/>
                <w:sz w:val="16"/>
                <w:szCs w:val="16"/>
              </w:rPr>
            </w:pPr>
          </w:p>
        </w:tc>
        <w:tc>
          <w:tcPr>
            <w:tcW w:w="1728" w:type="dxa"/>
            <w:noWrap/>
            <w:vAlign w:val="center"/>
            <w:hideMark/>
          </w:tcPr>
          <w:p w14:paraId="04831418" w14:textId="77777777" w:rsidR="00D51468" w:rsidRPr="00987350"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Medio</w:t>
            </w:r>
          </w:p>
        </w:tc>
        <w:tc>
          <w:tcPr>
            <w:tcW w:w="1152" w:type="dxa"/>
            <w:noWrap/>
            <w:vAlign w:val="center"/>
            <w:hideMark/>
          </w:tcPr>
          <w:p w14:paraId="33A680FC" w14:textId="54ED87D8"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18,687,431</w:t>
            </w:r>
          </w:p>
        </w:tc>
        <w:tc>
          <w:tcPr>
            <w:tcW w:w="1152" w:type="dxa"/>
            <w:shd w:val="clear" w:color="auto" w:fill="DBE5F1" w:themeFill="accent1" w:themeFillTint="33"/>
            <w:noWrap/>
            <w:vAlign w:val="center"/>
            <w:hideMark/>
          </w:tcPr>
          <w:p w14:paraId="15AF1A18" w14:textId="770E07B4"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D51468">
              <w:rPr>
                <w:rFonts w:ascii="Arial" w:hAnsi="Arial" w:cs="Arial"/>
                <w:color w:val="000000"/>
                <w:sz w:val="16"/>
                <w:szCs w:val="16"/>
              </w:rPr>
              <w:t>18,029,518</w:t>
            </w:r>
          </w:p>
        </w:tc>
        <w:tc>
          <w:tcPr>
            <w:tcW w:w="1152" w:type="dxa"/>
            <w:noWrap/>
            <w:vAlign w:val="center"/>
            <w:hideMark/>
          </w:tcPr>
          <w:p w14:paraId="7988B653" w14:textId="71F3993F"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16,240,125</w:t>
            </w:r>
          </w:p>
        </w:tc>
        <w:tc>
          <w:tcPr>
            <w:tcW w:w="1152" w:type="dxa"/>
            <w:noWrap/>
            <w:vAlign w:val="center"/>
            <w:hideMark/>
          </w:tcPr>
          <w:p w14:paraId="0CC7836B" w14:textId="3D43FCF7"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14,691,309</w:t>
            </w:r>
          </w:p>
        </w:tc>
      </w:tr>
      <w:tr w:rsidR="00D51468" w:rsidRPr="00987350" w14:paraId="405FB218" w14:textId="77777777" w:rsidTr="00C014E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4B5BFD28" w14:textId="77777777" w:rsidR="00D51468" w:rsidRPr="00987350" w:rsidRDefault="00D51468" w:rsidP="00D51468">
            <w:pPr>
              <w:keepNext/>
              <w:spacing w:after="100" w:afterAutospacing="1"/>
              <w:jc w:val="center"/>
              <w:rPr>
                <w:rFonts w:ascii="Arial" w:hAnsi="Arial" w:cs="Arial"/>
                <w:color w:val="000000"/>
                <w:sz w:val="16"/>
                <w:szCs w:val="16"/>
              </w:rPr>
            </w:pPr>
          </w:p>
        </w:tc>
        <w:tc>
          <w:tcPr>
            <w:tcW w:w="1728" w:type="dxa"/>
            <w:noWrap/>
            <w:vAlign w:val="center"/>
            <w:hideMark/>
          </w:tcPr>
          <w:p w14:paraId="230BC7AB" w14:textId="77777777" w:rsidR="00D51468" w:rsidRPr="00987350"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Optimista</w:t>
            </w:r>
          </w:p>
        </w:tc>
        <w:tc>
          <w:tcPr>
            <w:tcW w:w="1152" w:type="dxa"/>
            <w:noWrap/>
            <w:vAlign w:val="center"/>
            <w:hideMark/>
          </w:tcPr>
          <w:p w14:paraId="15F7A053" w14:textId="33976AE9"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24,026,698</w:t>
            </w:r>
          </w:p>
        </w:tc>
        <w:tc>
          <w:tcPr>
            <w:tcW w:w="1152" w:type="dxa"/>
            <w:noWrap/>
            <w:vAlign w:val="center"/>
            <w:hideMark/>
          </w:tcPr>
          <w:p w14:paraId="57CE4247" w14:textId="70013F65"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23,180,809</w:t>
            </w:r>
          </w:p>
        </w:tc>
        <w:tc>
          <w:tcPr>
            <w:tcW w:w="1152" w:type="dxa"/>
            <w:noWrap/>
            <w:vAlign w:val="center"/>
            <w:hideMark/>
          </w:tcPr>
          <w:p w14:paraId="1ED18B7E" w14:textId="7BB5192E"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20,880,161</w:t>
            </w:r>
          </w:p>
        </w:tc>
        <w:tc>
          <w:tcPr>
            <w:tcW w:w="1152" w:type="dxa"/>
            <w:noWrap/>
            <w:vAlign w:val="center"/>
            <w:hideMark/>
          </w:tcPr>
          <w:p w14:paraId="67E11140" w14:textId="61885083"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18,888,826</w:t>
            </w:r>
          </w:p>
        </w:tc>
      </w:tr>
      <w:tr w:rsidR="00D51468" w:rsidRPr="00987350" w14:paraId="276A98C3" w14:textId="77777777" w:rsidTr="00C014EC">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32402780" w14:textId="77777777" w:rsidR="00D51468" w:rsidRPr="00987350" w:rsidRDefault="00D51468" w:rsidP="00D51468">
            <w:pPr>
              <w:keepNext/>
              <w:spacing w:after="100" w:afterAutospacing="1"/>
              <w:jc w:val="center"/>
              <w:rPr>
                <w:rFonts w:ascii="Arial" w:hAnsi="Arial" w:cs="Arial"/>
                <w:color w:val="000000"/>
                <w:sz w:val="16"/>
                <w:szCs w:val="16"/>
              </w:rPr>
            </w:pPr>
            <w:r w:rsidRPr="00987350">
              <w:rPr>
                <w:rFonts w:ascii="Arial" w:hAnsi="Arial" w:cs="Arial"/>
                <w:color w:val="000000"/>
                <w:sz w:val="16"/>
                <w:szCs w:val="16"/>
              </w:rPr>
              <w:t>Rápido</w:t>
            </w:r>
          </w:p>
        </w:tc>
        <w:tc>
          <w:tcPr>
            <w:tcW w:w="1728" w:type="dxa"/>
            <w:noWrap/>
            <w:vAlign w:val="center"/>
            <w:hideMark/>
          </w:tcPr>
          <w:p w14:paraId="623818BD" w14:textId="77777777" w:rsidR="00D51468" w:rsidRPr="00987350"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Pesimista</w:t>
            </w:r>
          </w:p>
        </w:tc>
        <w:tc>
          <w:tcPr>
            <w:tcW w:w="1152" w:type="dxa"/>
            <w:noWrap/>
            <w:vAlign w:val="center"/>
            <w:hideMark/>
          </w:tcPr>
          <w:p w14:paraId="1D19F031" w14:textId="3028C24A"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19,059,831</w:t>
            </w:r>
          </w:p>
        </w:tc>
        <w:tc>
          <w:tcPr>
            <w:tcW w:w="1152" w:type="dxa"/>
            <w:noWrap/>
            <w:vAlign w:val="center"/>
            <w:hideMark/>
          </w:tcPr>
          <w:p w14:paraId="07204000" w14:textId="2239F4F9"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18,378,617</w:t>
            </w:r>
          </w:p>
        </w:tc>
        <w:tc>
          <w:tcPr>
            <w:tcW w:w="1152" w:type="dxa"/>
            <w:noWrap/>
            <w:vAlign w:val="center"/>
            <w:hideMark/>
          </w:tcPr>
          <w:p w14:paraId="7B43FC50" w14:textId="1F1BBA5C"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16,525,352</w:t>
            </w:r>
          </w:p>
        </w:tc>
        <w:tc>
          <w:tcPr>
            <w:tcW w:w="1152" w:type="dxa"/>
            <w:noWrap/>
            <w:vAlign w:val="center"/>
            <w:hideMark/>
          </w:tcPr>
          <w:p w14:paraId="7A3391BA" w14:textId="0DD19948"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14,920,710</w:t>
            </w:r>
          </w:p>
        </w:tc>
      </w:tr>
      <w:tr w:rsidR="00D51468" w:rsidRPr="00987350" w14:paraId="74FFA77F" w14:textId="77777777" w:rsidTr="00C014EC">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3F7344FC" w14:textId="77777777" w:rsidR="00D51468" w:rsidRPr="00987350" w:rsidRDefault="00D51468" w:rsidP="00D51468">
            <w:pPr>
              <w:keepNext/>
              <w:spacing w:after="100" w:afterAutospacing="1"/>
              <w:jc w:val="center"/>
              <w:rPr>
                <w:rFonts w:ascii="Arial" w:hAnsi="Arial" w:cs="Arial"/>
                <w:color w:val="000000"/>
                <w:sz w:val="16"/>
                <w:szCs w:val="16"/>
              </w:rPr>
            </w:pPr>
          </w:p>
        </w:tc>
        <w:tc>
          <w:tcPr>
            <w:tcW w:w="1728" w:type="dxa"/>
            <w:noWrap/>
            <w:vAlign w:val="center"/>
            <w:hideMark/>
          </w:tcPr>
          <w:p w14:paraId="442A50B6" w14:textId="77777777" w:rsidR="00D51468" w:rsidRPr="00987350"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Medio</w:t>
            </w:r>
          </w:p>
        </w:tc>
        <w:tc>
          <w:tcPr>
            <w:tcW w:w="1152" w:type="dxa"/>
            <w:noWrap/>
            <w:vAlign w:val="center"/>
            <w:hideMark/>
          </w:tcPr>
          <w:p w14:paraId="266735CD" w14:textId="2E069F6C"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26,683,764</w:t>
            </w:r>
          </w:p>
        </w:tc>
        <w:tc>
          <w:tcPr>
            <w:tcW w:w="1152" w:type="dxa"/>
            <w:noWrap/>
            <w:vAlign w:val="center"/>
            <w:hideMark/>
          </w:tcPr>
          <w:p w14:paraId="6087D196" w14:textId="6823ADA1"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25,730,064</w:t>
            </w:r>
          </w:p>
        </w:tc>
        <w:tc>
          <w:tcPr>
            <w:tcW w:w="1152" w:type="dxa"/>
            <w:noWrap/>
            <w:vAlign w:val="center"/>
            <w:hideMark/>
          </w:tcPr>
          <w:p w14:paraId="558058B5" w14:textId="24D872BD"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23,135,493</w:t>
            </w:r>
          </w:p>
        </w:tc>
        <w:tc>
          <w:tcPr>
            <w:tcW w:w="1152" w:type="dxa"/>
            <w:noWrap/>
            <w:vAlign w:val="center"/>
            <w:hideMark/>
          </w:tcPr>
          <w:p w14:paraId="37D80334" w14:textId="5A03E8D9" w:rsidR="00D51468" w:rsidRPr="00D51468" w:rsidRDefault="00D51468" w:rsidP="00D51468">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20,888,994</w:t>
            </w:r>
          </w:p>
        </w:tc>
      </w:tr>
      <w:tr w:rsidR="00D51468" w:rsidRPr="00987350" w14:paraId="72175165" w14:textId="77777777" w:rsidTr="00C014EC">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0EC9A987" w14:textId="77777777" w:rsidR="00D51468" w:rsidRPr="00987350" w:rsidRDefault="00D51468" w:rsidP="00D51468">
            <w:pPr>
              <w:keepNext/>
              <w:spacing w:after="100" w:afterAutospacing="1"/>
              <w:jc w:val="center"/>
              <w:rPr>
                <w:rFonts w:ascii="Arial" w:hAnsi="Arial" w:cs="Arial"/>
                <w:color w:val="000000"/>
                <w:sz w:val="16"/>
                <w:szCs w:val="16"/>
              </w:rPr>
            </w:pPr>
          </w:p>
        </w:tc>
        <w:tc>
          <w:tcPr>
            <w:tcW w:w="1728" w:type="dxa"/>
            <w:noWrap/>
            <w:vAlign w:val="center"/>
            <w:hideMark/>
          </w:tcPr>
          <w:p w14:paraId="69795337" w14:textId="77777777" w:rsidR="00D51468" w:rsidRPr="00987350" w:rsidRDefault="00D51468" w:rsidP="00D51468">
            <w:pPr>
              <w:keepNext/>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987350">
              <w:rPr>
                <w:rFonts w:ascii="Arial" w:hAnsi="Arial" w:cs="Arial"/>
                <w:color w:val="000000"/>
                <w:sz w:val="16"/>
                <w:szCs w:val="16"/>
              </w:rPr>
              <w:t>Optimista</w:t>
            </w:r>
          </w:p>
        </w:tc>
        <w:tc>
          <w:tcPr>
            <w:tcW w:w="1152" w:type="dxa"/>
            <w:noWrap/>
            <w:vAlign w:val="center"/>
            <w:hideMark/>
          </w:tcPr>
          <w:p w14:paraId="6E7A6781" w14:textId="6072C930"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34,307,696</w:t>
            </w:r>
          </w:p>
        </w:tc>
        <w:tc>
          <w:tcPr>
            <w:tcW w:w="1152" w:type="dxa"/>
            <w:noWrap/>
            <w:vAlign w:val="center"/>
            <w:hideMark/>
          </w:tcPr>
          <w:p w14:paraId="68E1A9BC" w14:textId="5A190A61"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33,081,510</w:t>
            </w:r>
          </w:p>
        </w:tc>
        <w:tc>
          <w:tcPr>
            <w:tcW w:w="1152" w:type="dxa"/>
            <w:noWrap/>
            <w:vAlign w:val="center"/>
            <w:hideMark/>
          </w:tcPr>
          <w:p w14:paraId="34398476" w14:textId="35271D48"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29,745,634</w:t>
            </w:r>
          </w:p>
        </w:tc>
        <w:tc>
          <w:tcPr>
            <w:tcW w:w="1152" w:type="dxa"/>
            <w:noWrap/>
            <w:vAlign w:val="center"/>
            <w:hideMark/>
          </w:tcPr>
          <w:p w14:paraId="1D9B83AD" w14:textId="34CC3C4B" w:rsidR="00D51468" w:rsidRPr="00D51468" w:rsidRDefault="00D51468" w:rsidP="00D51468">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D51468">
              <w:rPr>
                <w:rFonts w:ascii="Arial" w:hAnsi="Arial" w:cs="Arial"/>
                <w:color w:val="000000"/>
                <w:sz w:val="16"/>
                <w:szCs w:val="16"/>
              </w:rPr>
              <w:t>26,857,278</w:t>
            </w:r>
          </w:p>
        </w:tc>
      </w:tr>
    </w:tbl>
    <w:p w14:paraId="039A8FD3" w14:textId="77777777" w:rsidR="007F2556" w:rsidRPr="00D64AE7" w:rsidRDefault="007F2556" w:rsidP="007F2556">
      <w:pPr>
        <w:keepNext/>
        <w:autoSpaceDE w:val="0"/>
        <w:autoSpaceDN w:val="0"/>
        <w:adjustRightInd w:val="0"/>
        <w:spacing w:after="100" w:afterAutospacing="1"/>
        <w:jc w:val="center"/>
        <w:rPr>
          <w:rFonts w:ascii="Arial" w:hAnsi="Arial" w:cs="Arial"/>
          <w:sz w:val="18"/>
          <w:szCs w:val="16"/>
        </w:rPr>
      </w:pPr>
      <w:r>
        <w:rPr>
          <w:rFonts w:ascii="Arial" w:hAnsi="Arial" w:cs="Arial"/>
          <w:sz w:val="18"/>
          <w:szCs w:val="16"/>
        </w:rPr>
        <w:br/>
      </w:r>
      <w:r w:rsidRPr="00D64AE7">
        <w:rPr>
          <w:rFonts w:ascii="Arial" w:hAnsi="Arial" w:cs="Arial"/>
          <w:sz w:val="18"/>
          <w:szCs w:val="16"/>
        </w:rPr>
        <w:t>Fuente: Elaboración de los autores.</w:t>
      </w:r>
    </w:p>
    <w:p w14:paraId="33001BE9" w14:textId="1B39BA6C" w:rsidR="00CC78EA" w:rsidRPr="00CC78EA" w:rsidRDefault="00CC78EA" w:rsidP="00CC78EA">
      <w:pPr>
        <w:autoSpaceDE w:val="0"/>
        <w:autoSpaceDN w:val="0"/>
        <w:adjustRightInd w:val="0"/>
        <w:spacing w:before="120" w:after="100" w:afterAutospacing="1"/>
        <w:jc w:val="both"/>
        <w:rPr>
          <w:rFonts w:ascii="Arial" w:hAnsi="Arial" w:cs="Arial"/>
          <w:sz w:val="22"/>
          <w:szCs w:val="22"/>
        </w:rPr>
      </w:pPr>
      <w:r w:rsidRPr="00D64AE7">
        <w:rPr>
          <w:rFonts w:ascii="Arial" w:hAnsi="Arial" w:cs="Arial"/>
          <w:sz w:val="22"/>
          <w:szCs w:val="22"/>
        </w:rPr>
        <w:t>Considerando el escenario más realista; es decir donde los beneficios graduales se presentan en forma regular y se alcanza un factor marginal de efectividad medio; los beneficios esperados del programa en cinco años ascienden a US$</w:t>
      </w:r>
      <w:r w:rsidR="00261324">
        <w:rPr>
          <w:rFonts w:ascii="Arial" w:hAnsi="Arial" w:cs="Arial"/>
          <w:sz w:val="22"/>
          <w:szCs w:val="22"/>
        </w:rPr>
        <w:t>18.029.518</w:t>
      </w:r>
      <w:r w:rsidRPr="00D64AE7">
        <w:rPr>
          <w:rFonts w:ascii="Arial" w:hAnsi="Arial" w:cs="Arial"/>
          <w:sz w:val="22"/>
          <w:szCs w:val="22"/>
        </w:rPr>
        <w:t>. El análisis de sensibilidad presentado en la Tabla 8 muestra que los beneficios oscilan entre US$7.</w:t>
      </w:r>
      <w:r w:rsidR="00261324">
        <w:rPr>
          <w:rFonts w:ascii="Arial" w:hAnsi="Arial" w:cs="Arial"/>
          <w:sz w:val="22"/>
          <w:szCs w:val="22"/>
        </w:rPr>
        <w:t>4</w:t>
      </w:r>
      <w:r w:rsidRPr="00D64AE7">
        <w:rPr>
          <w:rFonts w:ascii="Arial" w:hAnsi="Arial" w:cs="Arial"/>
          <w:sz w:val="22"/>
          <w:szCs w:val="22"/>
        </w:rPr>
        <w:t xml:space="preserve"> millones de dólares en los escenarios más negativos y con una tasa de descuento de 9% y US$3</w:t>
      </w:r>
      <w:r w:rsidR="00261324">
        <w:rPr>
          <w:rFonts w:ascii="Arial" w:hAnsi="Arial" w:cs="Arial"/>
          <w:sz w:val="22"/>
          <w:szCs w:val="22"/>
        </w:rPr>
        <w:t>4</w:t>
      </w:r>
      <w:r w:rsidRPr="00D64AE7">
        <w:rPr>
          <w:rFonts w:ascii="Arial" w:hAnsi="Arial" w:cs="Arial"/>
          <w:sz w:val="22"/>
          <w:szCs w:val="22"/>
        </w:rPr>
        <w:t xml:space="preserve"> millones de dólares en el escenario más optimista con una tasa de descuento de 2%.</w:t>
      </w:r>
      <w:r>
        <w:rPr>
          <w:rFonts w:ascii="Arial" w:hAnsi="Arial" w:cs="Arial"/>
          <w:sz w:val="22"/>
          <w:szCs w:val="22"/>
        </w:rPr>
        <w:t xml:space="preserve"> </w:t>
      </w:r>
    </w:p>
    <w:p w14:paraId="4AB25FFD" w14:textId="77777777" w:rsidR="00CC78EA" w:rsidRDefault="00CC78EA">
      <w:pPr>
        <w:rPr>
          <w:rFonts w:ascii="Arial" w:eastAsia="Cambria" w:hAnsi="Arial" w:cs="Arial"/>
          <w:b/>
          <w:bCs/>
          <w:sz w:val="18"/>
          <w:szCs w:val="20"/>
          <w:lang w:val="es-ES_tradnl"/>
        </w:rPr>
      </w:pPr>
      <w:r>
        <w:br w:type="page"/>
      </w:r>
    </w:p>
    <w:p w14:paraId="0EC0BCF6" w14:textId="61A67A65" w:rsidR="00987350" w:rsidRPr="002C2031" w:rsidRDefault="00987350" w:rsidP="007621CC">
      <w:pPr>
        <w:pStyle w:val="Caption"/>
      </w:pPr>
      <w:r w:rsidRPr="009871F9">
        <w:lastRenderedPageBreak/>
        <w:t xml:space="preserve">Tabla </w:t>
      </w:r>
      <w:r w:rsidRPr="009871F9">
        <w:fldChar w:fldCharType="begin"/>
      </w:r>
      <w:r w:rsidRPr="009871F9">
        <w:instrText xml:space="preserve"> SEQ Tabla \* ARABIC </w:instrText>
      </w:r>
      <w:r w:rsidRPr="009871F9">
        <w:fldChar w:fldCharType="separate"/>
      </w:r>
      <w:r>
        <w:rPr>
          <w:noProof/>
        </w:rPr>
        <w:t>9</w:t>
      </w:r>
      <w:r w:rsidRPr="009871F9">
        <w:fldChar w:fldCharType="end"/>
      </w:r>
      <w:r w:rsidRPr="009871F9">
        <w:t xml:space="preserve">. </w:t>
      </w:r>
      <w:r w:rsidRPr="002C2031">
        <w:t>An</w:t>
      </w:r>
      <w:r w:rsidRPr="002C2031">
        <w:rPr>
          <w:rFonts w:eastAsia="Calibri"/>
        </w:rPr>
        <w:t>álisis</w:t>
      </w:r>
      <w:r w:rsidRPr="002C2031">
        <w:t xml:space="preserve"> </w:t>
      </w:r>
      <w:r w:rsidRPr="002C2031">
        <w:rPr>
          <w:rFonts w:eastAsia="Calibri"/>
        </w:rPr>
        <w:t>de</w:t>
      </w:r>
      <w:r w:rsidRPr="002C2031">
        <w:t xml:space="preserve"> </w:t>
      </w:r>
      <w:r w:rsidRPr="002C2031">
        <w:rPr>
          <w:rFonts w:eastAsia="Calibri"/>
        </w:rPr>
        <w:t>sensibilidad</w:t>
      </w:r>
      <w:r w:rsidRPr="002C2031">
        <w:t xml:space="preserve"> de los beneficios en d</w:t>
      </w:r>
      <w:r w:rsidRPr="002C2031">
        <w:rPr>
          <w:rFonts w:eastAsia="Calibri"/>
        </w:rPr>
        <w:t>ólares</w:t>
      </w:r>
      <w:r w:rsidRPr="002C2031">
        <w:t>, periodo 2022-2032</w:t>
      </w:r>
    </w:p>
    <w:p w14:paraId="5761E489" w14:textId="77777777" w:rsidR="00CC78EA" w:rsidRPr="002C2031" w:rsidRDefault="00CC78EA" w:rsidP="00CC78EA">
      <w:pPr>
        <w:rPr>
          <w:lang w:val="es-ES_tradnl"/>
        </w:rPr>
      </w:pPr>
    </w:p>
    <w:tbl>
      <w:tblPr>
        <w:tblStyle w:val="PlainTable2"/>
        <w:tblW w:w="0" w:type="auto"/>
        <w:jc w:val="center"/>
        <w:tblLayout w:type="fixed"/>
        <w:tblLook w:val="04A0" w:firstRow="1" w:lastRow="0" w:firstColumn="1" w:lastColumn="0" w:noHBand="0" w:noVBand="1"/>
      </w:tblPr>
      <w:tblGrid>
        <w:gridCol w:w="1296"/>
        <w:gridCol w:w="1728"/>
        <w:gridCol w:w="1296"/>
        <w:gridCol w:w="1260"/>
        <w:gridCol w:w="1152"/>
        <w:gridCol w:w="1155"/>
      </w:tblGrid>
      <w:tr w:rsidR="00987350" w:rsidRPr="002C2031" w14:paraId="0A74F873" w14:textId="77777777" w:rsidTr="00C014EC">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Merge w:val="restart"/>
            <w:shd w:val="clear" w:color="auto" w:fill="F2F2F2" w:themeFill="background1" w:themeFillShade="F2"/>
            <w:vAlign w:val="center"/>
          </w:tcPr>
          <w:p w14:paraId="131DF340" w14:textId="77777777" w:rsidR="00987350" w:rsidRPr="002C2031" w:rsidRDefault="00987350" w:rsidP="00C014EC">
            <w:pPr>
              <w:keepNext/>
              <w:spacing w:after="100" w:afterAutospacing="1"/>
              <w:jc w:val="center"/>
              <w:rPr>
                <w:rFonts w:ascii="Arial" w:hAnsi="Arial" w:cs="Arial"/>
                <w:color w:val="000000"/>
                <w:sz w:val="16"/>
                <w:szCs w:val="16"/>
              </w:rPr>
            </w:pPr>
            <w:r w:rsidRPr="002C2031">
              <w:rPr>
                <w:rFonts w:ascii="Arial" w:hAnsi="Arial" w:cs="Arial"/>
                <w:color w:val="000000"/>
                <w:sz w:val="16"/>
                <w:szCs w:val="16"/>
              </w:rPr>
              <w:t>Vectores de gradualidad</w:t>
            </w:r>
          </w:p>
        </w:tc>
        <w:tc>
          <w:tcPr>
            <w:tcW w:w="1728" w:type="dxa"/>
            <w:vMerge w:val="restart"/>
            <w:shd w:val="clear" w:color="auto" w:fill="F2F2F2" w:themeFill="background1" w:themeFillShade="F2"/>
            <w:vAlign w:val="center"/>
          </w:tcPr>
          <w:p w14:paraId="7F099578" w14:textId="77777777" w:rsidR="00987350" w:rsidRPr="002C2031" w:rsidRDefault="00987350" w:rsidP="00C014EC">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Escenarios de cobertura efectiva</w:t>
            </w:r>
          </w:p>
        </w:tc>
        <w:tc>
          <w:tcPr>
            <w:tcW w:w="4863" w:type="dxa"/>
            <w:gridSpan w:val="4"/>
            <w:shd w:val="clear" w:color="auto" w:fill="F2F2F2" w:themeFill="background1" w:themeFillShade="F2"/>
            <w:noWrap/>
            <w:vAlign w:val="center"/>
          </w:tcPr>
          <w:p w14:paraId="2DB817C7" w14:textId="77777777" w:rsidR="00987350" w:rsidRPr="002C2031" w:rsidRDefault="00987350" w:rsidP="00C014EC">
            <w:pPr>
              <w:keepNext/>
              <w:spacing w:after="100" w:afterAutospacing="1"/>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Tasa de descuento</w:t>
            </w:r>
          </w:p>
        </w:tc>
      </w:tr>
      <w:tr w:rsidR="00987350" w:rsidRPr="002C2031" w14:paraId="45D2258A" w14:textId="77777777" w:rsidTr="002C7B5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Merge/>
            <w:shd w:val="clear" w:color="auto" w:fill="F2F2F2" w:themeFill="background1" w:themeFillShade="F2"/>
            <w:vAlign w:val="center"/>
            <w:hideMark/>
          </w:tcPr>
          <w:p w14:paraId="446C0E5F" w14:textId="77777777" w:rsidR="00987350" w:rsidRPr="002C2031" w:rsidRDefault="00987350" w:rsidP="00C014EC">
            <w:pPr>
              <w:keepNext/>
              <w:spacing w:after="100" w:afterAutospacing="1"/>
              <w:jc w:val="center"/>
              <w:rPr>
                <w:rFonts w:ascii="Arial" w:hAnsi="Arial" w:cs="Arial"/>
                <w:color w:val="000000"/>
                <w:sz w:val="16"/>
                <w:szCs w:val="16"/>
              </w:rPr>
            </w:pPr>
          </w:p>
        </w:tc>
        <w:tc>
          <w:tcPr>
            <w:tcW w:w="1728" w:type="dxa"/>
            <w:vMerge/>
            <w:shd w:val="clear" w:color="auto" w:fill="F2F2F2" w:themeFill="background1" w:themeFillShade="F2"/>
            <w:vAlign w:val="center"/>
            <w:hideMark/>
          </w:tcPr>
          <w:p w14:paraId="00702E01" w14:textId="77777777" w:rsidR="00987350" w:rsidRPr="002C2031" w:rsidRDefault="00987350"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p>
        </w:tc>
        <w:tc>
          <w:tcPr>
            <w:tcW w:w="1296" w:type="dxa"/>
            <w:shd w:val="clear" w:color="auto" w:fill="F2F2F2" w:themeFill="background1" w:themeFillShade="F2"/>
            <w:noWrap/>
            <w:vAlign w:val="center"/>
            <w:hideMark/>
          </w:tcPr>
          <w:p w14:paraId="6AA18785" w14:textId="77777777" w:rsidR="00987350" w:rsidRPr="002C2031" w:rsidRDefault="00987350"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2C2031">
              <w:rPr>
                <w:rFonts w:ascii="Arial" w:hAnsi="Arial" w:cs="Arial"/>
                <w:b/>
                <w:bCs/>
                <w:color w:val="000000"/>
                <w:sz w:val="16"/>
                <w:szCs w:val="16"/>
              </w:rPr>
              <w:t>2%</w:t>
            </w:r>
          </w:p>
        </w:tc>
        <w:tc>
          <w:tcPr>
            <w:tcW w:w="1260" w:type="dxa"/>
            <w:shd w:val="clear" w:color="auto" w:fill="F2F2F2" w:themeFill="background1" w:themeFillShade="F2"/>
            <w:noWrap/>
            <w:vAlign w:val="center"/>
            <w:hideMark/>
          </w:tcPr>
          <w:p w14:paraId="51D8EB22" w14:textId="77777777" w:rsidR="00987350" w:rsidRPr="002C2031" w:rsidRDefault="00987350"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2C2031">
              <w:rPr>
                <w:rFonts w:ascii="Arial" w:hAnsi="Arial" w:cs="Arial"/>
                <w:b/>
                <w:bCs/>
                <w:color w:val="000000"/>
                <w:sz w:val="16"/>
                <w:szCs w:val="16"/>
              </w:rPr>
              <w:t>3%</w:t>
            </w:r>
          </w:p>
        </w:tc>
        <w:tc>
          <w:tcPr>
            <w:tcW w:w="1152" w:type="dxa"/>
            <w:shd w:val="clear" w:color="auto" w:fill="F2F2F2" w:themeFill="background1" w:themeFillShade="F2"/>
            <w:noWrap/>
            <w:vAlign w:val="center"/>
            <w:hideMark/>
          </w:tcPr>
          <w:p w14:paraId="09C15949" w14:textId="77777777" w:rsidR="00987350" w:rsidRPr="002C2031" w:rsidRDefault="00987350"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2C2031">
              <w:rPr>
                <w:rFonts w:ascii="Arial" w:hAnsi="Arial" w:cs="Arial"/>
                <w:b/>
                <w:bCs/>
                <w:color w:val="000000"/>
                <w:sz w:val="16"/>
                <w:szCs w:val="16"/>
              </w:rPr>
              <w:t>6%</w:t>
            </w:r>
          </w:p>
        </w:tc>
        <w:tc>
          <w:tcPr>
            <w:tcW w:w="1155" w:type="dxa"/>
            <w:shd w:val="clear" w:color="auto" w:fill="F2F2F2" w:themeFill="background1" w:themeFillShade="F2"/>
            <w:noWrap/>
            <w:vAlign w:val="center"/>
            <w:hideMark/>
          </w:tcPr>
          <w:p w14:paraId="598B0881" w14:textId="77777777" w:rsidR="00987350" w:rsidRPr="002C2031" w:rsidRDefault="00987350" w:rsidP="00C014EC">
            <w:pPr>
              <w:keepNext/>
              <w:spacing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6"/>
                <w:szCs w:val="16"/>
              </w:rPr>
            </w:pPr>
            <w:r w:rsidRPr="002C2031">
              <w:rPr>
                <w:rFonts w:ascii="Arial" w:hAnsi="Arial" w:cs="Arial"/>
                <w:b/>
                <w:bCs/>
                <w:color w:val="000000"/>
                <w:sz w:val="16"/>
                <w:szCs w:val="16"/>
              </w:rPr>
              <w:t>9%</w:t>
            </w:r>
          </w:p>
        </w:tc>
      </w:tr>
      <w:tr w:rsidR="00A23BB5" w:rsidRPr="002C2031" w14:paraId="44846361" w14:textId="77777777" w:rsidTr="002C7B5A">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29F6EF75" w14:textId="77777777" w:rsidR="00A23BB5" w:rsidRPr="002C2031" w:rsidRDefault="00A23BB5" w:rsidP="00A23BB5">
            <w:pPr>
              <w:keepNext/>
              <w:spacing w:after="100" w:afterAutospacing="1"/>
              <w:jc w:val="center"/>
              <w:rPr>
                <w:rFonts w:ascii="Arial" w:hAnsi="Arial" w:cs="Arial"/>
                <w:color w:val="000000"/>
                <w:sz w:val="16"/>
                <w:szCs w:val="16"/>
              </w:rPr>
            </w:pPr>
            <w:r w:rsidRPr="002C2031">
              <w:rPr>
                <w:rFonts w:ascii="Arial" w:hAnsi="Arial" w:cs="Arial"/>
                <w:color w:val="000000"/>
                <w:sz w:val="16"/>
                <w:szCs w:val="16"/>
              </w:rPr>
              <w:t>Lento</w:t>
            </w:r>
          </w:p>
        </w:tc>
        <w:tc>
          <w:tcPr>
            <w:tcW w:w="1728" w:type="dxa"/>
            <w:noWrap/>
            <w:vAlign w:val="center"/>
            <w:hideMark/>
          </w:tcPr>
          <w:p w14:paraId="014D2A8F" w14:textId="77777777" w:rsidR="00A23BB5" w:rsidRPr="002C2031"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Pesimista</w:t>
            </w:r>
          </w:p>
        </w:tc>
        <w:tc>
          <w:tcPr>
            <w:tcW w:w="1296" w:type="dxa"/>
            <w:noWrap/>
            <w:vAlign w:val="center"/>
            <w:hideMark/>
          </w:tcPr>
          <w:p w14:paraId="08665544" w14:textId="6C3C044E"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41,956,552</w:t>
            </w:r>
          </w:p>
        </w:tc>
        <w:tc>
          <w:tcPr>
            <w:tcW w:w="1260" w:type="dxa"/>
            <w:noWrap/>
            <w:vAlign w:val="center"/>
            <w:hideMark/>
          </w:tcPr>
          <w:p w14:paraId="58E1D6B6" w14:textId="615B4A54"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39,229,136</w:t>
            </w:r>
          </w:p>
        </w:tc>
        <w:tc>
          <w:tcPr>
            <w:tcW w:w="1152" w:type="dxa"/>
            <w:noWrap/>
            <w:vAlign w:val="center"/>
            <w:hideMark/>
          </w:tcPr>
          <w:p w14:paraId="6AF6F49F" w14:textId="45E86300"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32,256,131</w:t>
            </w:r>
          </w:p>
        </w:tc>
        <w:tc>
          <w:tcPr>
            <w:tcW w:w="1155" w:type="dxa"/>
            <w:noWrap/>
            <w:vAlign w:val="center"/>
            <w:hideMark/>
          </w:tcPr>
          <w:p w14:paraId="1F135A85" w14:textId="25EB98B0"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26,749,957</w:t>
            </w:r>
          </w:p>
        </w:tc>
      </w:tr>
      <w:tr w:rsidR="00A23BB5" w:rsidRPr="002C2031" w14:paraId="33E33211" w14:textId="77777777" w:rsidTr="002C7B5A">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25E54985" w14:textId="77777777" w:rsidR="00A23BB5" w:rsidRPr="002C2031" w:rsidRDefault="00A23BB5" w:rsidP="00A23BB5">
            <w:pPr>
              <w:keepNext/>
              <w:spacing w:after="100" w:afterAutospacing="1"/>
              <w:jc w:val="center"/>
              <w:rPr>
                <w:rFonts w:ascii="Arial" w:hAnsi="Arial" w:cs="Arial"/>
                <w:color w:val="000000"/>
                <w:sz w:val="16"/>
                <w:szCs w:val="16"/>
              </w:rPr>
            </w:pPr>
          </w:p>
        </w:tc>
        <w:tc>
          <w:tcPr>
            <w:tcW w:w="1728" w:type="dxa"/>
            <w:noWrap/>
            <w:vAlign w:val="center"/>
            <w:hideMark/>
          </w:tcPr>
          <w:p w14:paraId="68423F84" w14:textId="77777777" w:rsidR="00A23BB5" w:rsidRPr="002C2031"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Medio</w:t>
            </w:r>
          </w:p>
        </w:tc>
        <w:tc>
          <w:tcPr>
            <w:tcW w:w="1296" w:type="dxa"/>
            <w:noWrap/>
            <w:vAlign w:val="center"/>
            <w:hideMark/>
          </w:tcPr>
          <w:p w14:paraId="508BA0BD" w14:textId="66244735"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58,739,173</w:t>
            </w:r>
          </w:p>
        </w:tc>
        <w:tc>
          <w:tcPr>
            <w:tcW w:w="1260" w:type="dxa"/>
            <w:noWrap/>
            <w:vAlign w:val="center"/>
            <w:hideMark/>
          </w:tcPr>
          <w:p w14:paraId="17A2612F" w14:textId="7E53099C"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54,920,790</w:t>
            </w:r>
          </w:p>
        </w:tc>
        <w:tc>
          <w:tcPr>
            <w:tcW w:w="1152" w:type="dxa"/>
            <w:noWrap/>
            <w:vAlign w:val="center"/>
            <w:hideMark/>
          </w:tcPr>
          <w:p w14:paraId="4B76F87A" w14:textId="0E297A68"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45,158,584</w:t>
            </w:r>
          </w:p>
        </w:tc>
        <w:tc>
          <w:tcPr>
            <w:tcW w:w="1155" w:type="dxa"/>
            <w:noWrap/>
            <w:vAlign w:val="center"/>
            <w:hideMark/>
          </w:tcPr>
          <w:p w14:paraId="2E274733" w14:textId="6AA526D8"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37,449,940</w:t>
            </w:r>
          </w:p>
        </w:tc>
      </w:tr>
      <w:tr w:rsidR="00A23BB5" w:rsidRPr="002C2031" w14:paraId="4F7A713C" w14:textId="77777777" w:rsidTr="002C7B5A">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2E04750B" w14:textId="77777777" w:rsidR="00A23BB5" w:rsidRPr="002C2031" w:rsidRDefault="00A23BB5" w:rsidP="00A23BB5">
            <w:pPr>
              <w:keepNext/>
              <w:spacing w:after="100" w:afterAutospacing="1"/>
              <w:jc w:val="center"/>
              <w:rPr>
                <w:rFonts w:ascii="Arial" w:hAnsi="Arial" w:cs="Arial"/>
                <w:color w:val="000000"/>
                <w:sz w:val="16"/>
                <w:szCs w:val="16"/>
              </w:rPr>
            </w:pPr>
          </w:p>
        </w:tc>
        <w:tc>
          <w:tcPr>
            <w:tcW w:w="1728" w:type="dxa"/>
            <w:noWrap/>
            <w:vAlign w:val="center"/>
            <w:hideMark/>
          </w:tcPr>
          <w:p w14:paraId="7C0AE9AE" w14:textId="77777777" w:rsidR="00A23BB5" w:rsidRPr="002C2031"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Optimista</w:t>
            </w:r>
          </w:p>
        </w:tc>
        <w:tc>
          <w:tcPr>
            <w:tcW w:w="1296" w:type="dxa"/>
            <w:noWrap/>
            <w:vAlign w:val="center"/>
            <w:hideMark/>
          </w:tcPr>
          <w:p w14:paraId="49B3AB60" w14:textId="383D8071"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75,521,793</w:t>
            </w:r>
          </w:p>
        </w:tc>
        <w:tc>
          <w:tcPr>
            <w:tcW w:w="1260" w:type="dxa"/>
            <w:noWrap/>
            <w:vAlign w:val="center"/>
            <w:hideMark/>
          </w:tcPr>
          <w:p w14:paraId="0CC262C3" w14:textId="7196B7B2"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70,612,444</w:t>
            </w:r>
          </w:p>
        </w:tc>
        <w:tc>
          <w:tcPr>
            <w:tcW w:w="1152" w:type="dxa"/>
            <w:noWrap/>
            <w:vAlign w:val="center"/>
            <w:hideMark/>
          </w:tcPr>
          <w:p w14:paraId="18538100" w14:textId="55D8CC20"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58,061,036</w:t>
            </w:r>
          </w:p>
        </w:tc>
        <w:tc>
          <w:tcPr>
            <w:tcW w:w="1155" w:type="dxa"/>
            <w:noWrap/>
            <w:vAlign w:val="center"/>
            <w:hideMark/>
          </w:tcPr>
          <w:p w14:paraId="56888C47" w14:textId="3BFBBFD2"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48,149,923</w:t>
            </w:r>
          </w:p>
        </w:tc>
      </w:tr>
      <w:tr w:rsidR="00A23BB5" w:rsidRPr="002C2031" w14:paraId="41A588A9" w14:textId="77777777" w:rsidTr="002C7B5A">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2756E4CA" w14:textId="77777777" w:rsidR="00A23BB5" w:rsidRPr="002C2031" w:rsidRDefault="00A23BB5" w:rsidP="00A23BB5">
            <w:pPr>
              <w:keepNext/>
              <w:spacing w:after="100" w:afterAutospacing="1"/>
              <w:jc w:val="center"/>
              <w:rPr>
                <w:rFonts w:ascii="Arial" w:hAnsi="Arial" w:cs="Arial"/>
                <w:color w:val="000000"/>
                <w:sz w:val="16"/>
                <w:szCs w:val="16"/>
              </w:rPr>
            </w:pPr>
            <w:r w:rsidRPr="002C2031">
              <w:rPr>
                <w:rFonts w:ascii="Arial" w:hAnsi="Arial" w:cs="Arial"/>
                <w:color w:val="000000"/>
                <w:sz w:val="16"/>
                <w:szCs w:val="16"/>
              </w:rPr>
              <w:t>Regular</w:t>
            </w:r>
          </w:p>
        </w:tc>
        <w:tc>
          <w:tcPr>
            <w:tcW w:w="1728" w:type="dxa"/>
            <w:noWrap/>
            <w:vAlign w:val="center"/>
            <w:hideMark/>
          </w:tcPr>
          <w:p w14:paraId="4B93D2A1" w14:textId="77777777" w:rsidR="00A23BB5" w:rsidRPr="002C2031"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Pesimista</w:t>
            </w:r>
          </w:p>
        </w:tc>
        <w:tc>
          <w:tcPr>
            <w:tcW w:w="1296" w:type="dxa"/>
            <w:noWrap/>
            <w:vAlign w:val="center"/>
            <w:hideMark/>
          </w:tcPr>
          <w:p w14:paraId="01043BA4" w14:textId="0420435F"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46,715,105</w:t>
            </w:r>
          </w:p>
        </w:tc>
        <w:tc>
          <w:tcPr>
            <w:tcW w:w="1260" w:type="dxa"/>
            <w:noWrap/>
            <w:vAlign w:val="center"/>
            <w:hideMark/>
          </w:tcPr>
          <w:p w14:paraId="1A70AB31" w14:textId="7EC2AF45"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43,812,431</w:t>
            </w:r>
          </w:p>
        </w:tc>
        <w:tc>
          <w:tcPr>
            <w:tcW w:w="1152" w:type="dxa"/>
            <w:noWrap/>
            <w:vAlign w:val="center"/>
            <w:hideMark/>
          </w:tcPr>
          <w:p w14:paraId="6F643B82" w14:textId="3AE67DB2"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36,373,206</w:t>
            </w:r>
          </w:p>
        </w:tc>
        <w:tc>
          <w:tcPr>
            <w:tcW w:w="1155" w:type="dxa"/>
            <w:noWrap/>
            <w:vAlign w:val="center"/>
            <w:hideMark/>
          </w:tcPr>
          <w:p w14:paraId="734BE538" w14:textId="01C9633D"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30,475,630</w:t>
            </w:r>
          </w:p>
        </w:tc>
      </w:tr>
      <w:tr w:rsidR="00A23BB5" w:rsidRPr="002C2031" w14:paraId="143B1725" w14:textId="77777777" w:rsidTr="002C7B5A">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067883DB" w14:textId="77777777" w:rsidR="00A23BB5" w:rsidRPr="002C2031" w:rsidRDefault="00A23BB5" w:rsidP="00A23BB5">
            <w:pPr>
              <w:keepNext/>
              <w:spacing w:after="100" w:afterAutospacing="1"/>
              <w:jc w:val="center"/>
              <w:rPr>
                <w:rFonts w:ascii="Arial" w:hAnsi="Arial" w:cs="Arial"/>
                <w:b w:val="0"/>
                <w:color w:val="000000"/>
                <w:sz w:val="16"/>
                <w:szCs w:val="16"/>
              </w:rPr>
            </w:pPr>
          </w:p>
        </w:tc>
        <w:tc>
          <w:tcPr>
            <w:tcW w:w="1728" w:type="dxa"/>
            <w:noWrap/>
            <w:vAlign w:val="center"/>
            <w:hideMark/>
          </w:tcPr>
          <w:p w14:paraId="58670E79" w14:textId="77777777" w:rsidR="00A23BB5" w:rsidRPr="002C2031"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Medio</w:t>
            </w:r>
          </w:p>
        </w:tc>
        <w:tc>
          <w:tcPr>
            <w:tcW w:w="1296" w:type="dxa"/>
            <w:noWrap/>
            <w:vAlign w:val="center"/>
            <w:hideMark/>
          </w:tcPr>
          <w:p w14:paraId="04A30E5A" w14:textId="227631EB"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65,401,147</w:t>
            </w:r>
          </w:p>
        </w:tc>
        <w:tc>
          <w:tcPr>
            <w:tcW w:w="1260" w:type="dxa"/>
            <w:shd w:val="clear" w:color="auto" w:fill="DBE5F1" w:themeFill="accent1" w:themeFillTint="33"/>
            <w:noWrap/>
            <w:vAlign w:val="center"/>
            <w:hideMark/>
          </w:tcPr>
          <w:p w14:paraId="7E6A56BA" w14:textId="78F749BE"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6"/>
                <w:szCs w:val="16"/>
              </w:rPr>
            </w:pPr>
            <w:r w:rsidRPr="00A23BB5">
              <w:rPr>
                <w:rFonts w:ascii="Arial" w:hAnsi="Arial" w:cs="Arial"/>
                <w:color w:val="000000"/>
                <w:sz w:val="16"/>
                <w:szCs w:val="16"/>
              </w:rPr>
              <w:t>61,337,403</w:t>
            </w:r>
          </w:p>
        </w:tc>
        <w:tc>
          <w:tcPr>
            <w:tcW w:w="1152" w:type="dxa"/>
            <w:noWrap/>
            <w:vAlign w:val="center"/>
            <w:hideMark/>
          </w:tcPr>
          <w:p w14:paraId="508E1B13" w14:textId="20892715"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50,922,488</w:t>
            </w:r>
          </w:p>
        </w:tc>
        <w:tc>
          <w:tcPr>
            <w:tcW w:w="1155" w:type="dxa"/>
            <w:noWrap/>
            <w:vAlign w:val="center"/>
            <w:hideMark/>
          </w:tcPr>
          <w:p w14:paraId="76B18B54" w14:textId="32469D2D"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42,665,883</w:t>
            </w:r>
          </w:p>
        </w:tc>
      </w:tr>
      <w:tr w:rsidR="00A23BB5" w:rsidRPr="002C2031" w14:paraId="1AD0135A" w14:textId="77777777" w:rsidTr="002C7B5A">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39F3A335" w14:textId="77777777" w:rsidR="00A23BB5" w:rsidRPr="002C2031" w:rsidRDefault="00A23BB5" w:rsidP="00A23BB5">
            <w:pPr>
              <w:keepNext/>
              <w:spacing w:after="100" w:afterAutospacing="1"/>
              <w:jc w:val="center"/>
              <w:rPr>
                <w:rFonts w:ascii="Arial" w:hAnsi="Arial" w:cs="Arial"/>
                <w:color w:val="000000"/>
                <w:sz w:val="16"/>
                <w:szCs w:val="16"/>
              </w:rPr>
            </w:pPr>
          </w:p>
        </w:tc>
        <w:tc>
          <w:tcPr>
            <w:tcW w:w="1728" w:type="dxa"/>
            <w:noWrap/>
            <w:vAlign w:val="center"/>
            <w:hideMark/>
          </w:tcPr>
          <w:p w14:paraId="52C90E01" w14:textId="77777777" w:rsidR="00A23BB5" w:rsidRPr="002C2031"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Optimista</w:t>
            </w:r>
          </w:p>
        </w:tc>
        <w:tc>
          <w:tcPr>
            <w:tcW w:w="1296" w:type="dxa"/>
            <w:noWrap/>
            <w:vAlign w:val="center"/>
            <w:hideMark/>
          </w:tcPr>
          <w:p w14:paraId="062B2FD5" w14:textId="18D197F7"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84,087,189</w:t>
            </w:r>
          </w:p>
        </w:tc>
        <w:tc>
          <w:tcPr>
            <w:tcW w:w="1260" w:type="dxa"/>
            <w:noWrap/>
            <w:vAlign w:val="center"/>
            <w:hideMark/>
          </w:tcPr>
          <w:p w14:paraId="41D6AE55" w14:textId="409D9E50"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78,862,375</w:t>
            </w:r>
          </w:p>
        </w:tc>
        <w:tc>
          <w:tcPr>
            <w:tcW w:w="1152" w:type="dxa"/>
            <w:noWrap/>
            <w:vAlign w:val="center"/>
            <w:hideMark/>
          </w:tcPr>
          <w:p w14:paraId="63EAD64F" w14:textId="1D82E58D"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65,471,771</w:t>
            </w:r>
          </w:p>
        </w:tc>
        <w:tc>
          <w:tcPr>
            <w:tcW w:w="1155" w:type="dxa"/>
            <w:noWrap/>
            <w:vAlign w:val="center"/>
            <w:hideMark/>
          </w:tcPr>
          <w:p w14:paraId="432C6FF6" w14:textId="2741A45F"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54,856,135</w:t>
            </w:r>
          </w:p>
        </w:tc>
      </w:tr>
      <w:tr w:rsidR="00A23BB5" w:rsidRPr="002C2031" w14:paraId="1D1FC760" w14:textId="77777777" w:rsidTr="002C7B5A">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val="restart"/>
            <w:noWrap/>
            <w:vAlign w:val="center"/>
            <w:hideMark/>
          </w:tcPr>
          <w:p w14:paraId="3B831526" w14:textId="77777777" w:rsidR="00A23BB5" w:rsidRPr="002C2031" w:rsidRDefault="00A23BB5" w:rsidP="00A23BB5">
            <w:pPr>
              <w:keepNext/>
              <w:spacing w:after="100" w:afterAutospacing="1"/>
              <w:jc w:val="center"/>
              <w:rPr>
                <w:rFonts w:ascii="Arial" w:hAnsi="Arial" w:cs="Arial"/>
                <w:color w:val="000000"/>
                <w:sz w:val="16"/>
                <w:szCs w:val="16"/>
              </w:rPr>
            </w:pPr>
            <w:r w:rsidRPr="002C2031">
              <w:rPr>
                <w:rFonts w:ascii="Arial" w:hAnsi="Arial" w:cs="Arial"/>
                <w:color w:val="000000"/>
                <w:sz w:val="16"/>
                <w:szCs w:val="16"/>
              </w:rPr>
              <w:t>Rápido</w:t>
            </w:r>
          </w:p>
        </w:tc>
        <w:tc>
          <w:tcPr>
            <w:tcW w:w="1728" w:type="dxa"/>
            <w:noWrap/>
            <w:vAlign w:val="center"/>
            <w:hideMark/>
          </w:tcPr>
          <w:p w14:paraId="2ECF2826" w14:textId="77777777" w:rsidR="00A23BB5" w:rsidRPr="002C2031"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Pesimista</w:t>
            </w:r>
          </w:p>
        </w:tc>
        <w:tc>
          <w:tcPr>
            <w:tcW w:w="1296" w:type="dxa"/>
            <w:noWrap/>
            <w:vAlign w:val="center"/>
            <w:hideMark/>
          </w:tcPr>
          <w:p w14:paraId="5C440F5F" w14:textId="1B7D2B45"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56,485,768</w:t>
            </w:r>
          </w:p>
        </w:tc>
        <w:tc>
          <w:tcPr>
            <w:tcW w:w="1260" w:type="dxa"/>
            <w:noWrap/>
            <w:vAlign w:val="center"/>
            <w:hideMark/>
          </w:tcPr>
          <w:p w14:paraId="3A0E99FC" w14:textId="72EAB52E"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53,109,502</w:t>
            </w:r>
          </w:p>
        </w:tc>
        <w:tc>
          <w:tcPr>
            <w:tcW w:w="1152" w:type="dxa"/>
            <w:noWrap/>
            <w:vAlign w:val="center"/>
            <w:hideMark/>
          </w:tcPr>
          <w:p w14:paraId="5D3636A8" w14:textId="709865DC"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44,418,702</w:t>
            </w:r>
          </w:p>
        </w:tc>
        <w:tc>
          <w:tcPr>
            <w:tcW w:w="1155" w:type="dxa"/>
            <w:noWrap/>
            <w:vAlign w:val="center"/>
            <w:hideMark/>
          </w:tcPr>
          <w:p w14:paraId="03DBAA45" w14:textId="0E40D6D4"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37,482,334</w:t>
            </w:r>
          </w:p>
        </w:tc>
      </w:tr>
      <w:tr w:rsidR="00A23BB5" w:rsidRPr="002C2031" w14:paraId="377E120C" w14:textId="77777777" w:rsidTr="002C7B5A">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67306B17" w14:textId="77777777" w:rsidR="00A23BB5" w:rsidRPr="002C2031" w:rsidRDefault="00A23BB5" w:rsidP="00A23BB5">
            <w:pPr>
              <w:keepNext/>
              <w:spacing w:after="100" w:afterAutospacing="1"/>
              <w:jc w:val="center"/>
              <w:rPr>
                <w:rFonts w:ascii="Arial" w:hAnsi="Arial" w:cs="Arial"/>
                <w:color w:val="000000"/>
                <w:sz w:val="16"/>
                <w:szCs w:val="16"/>
              </w:rPr>
            </w:pPr>
          </w:p>
        </w:tc>
        <w:tc>
          <w:tcPr>
            <w:tcW w:w="1728" w:type="dxa"/>
            <w:noWrap/>
            <w:vAlign w:val="center"/>
            <w:hideMark/>
          </w:tcPr>
          <w:p w14:paraId="47893A8E" w14:textId="77777777" w:rsidR="00A23BB5" w:rsidRPr="002C2031"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Medio</w:t>
            </w:r>
          </w:p>
        </w:tc>
        <w:tc>
          <w:tcPr>
            <w:tcW w:w="1296" w:type="dxa"/>
            <w:noWrap/>
            <w:vAlign w:val="center"/>
            <w:hideMark/>
          </w:tcPr>
          <w:p w14:paraId="76983452" w14:textId="4C2B7AE3"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79,080,075</w:t>
            </w:r>
          </w:p>
        </w:tc>
        <w:tc>
          <w:tcPr>
            <w:tcW w:w="1260" w:type="dxa"/>
            <w:noWrap/>
            <w:vAlign w:val="center"/>
            <w:hideMark/>
          </w:tcPr>
          <w:p w14:paraId="481C2CB8" w14:textId="5C4DDD42"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74,353,303</w:t>
            </w:r>
          </w:p>
        </w:tc>
        <w:tc>
          <w:tcPr>
            <w:tcW w:w="1152" w:type="dxa"/>
            <w:noWrap/>
            <w:vAlign w:val="center"/>
            <w:hideMark/>
          </w:tcPr>
          <w:p w14:paraId="7BEC5D4A" w14:textId="2CB3DB7C"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62,186,182</w:t>
            </w:r>
          </w:p>
        </w:tc>
        <w:tc>
          <w:tcPr>
            <w:tcW w:w="1155" w:type="dxa"/>
            <w:noWrap/>
            <w:vAlign w:val="center"/>
            <w:hideMark/>
          </w:tcPr>
          <w:p w14:paraId="35C3E6E8" w14:textId="64A3385A" w:rsidR="00A23BB5" w:rsidRPr="00A23BB5" w:rsidRDefault="00A23BB5" w:rsidP="00A23BB5">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52,475,267</w:t>
            </w:r>
          </w:p>
        </w:tc>
      </w:tr>
      <w:tr w:rsidR="00A23BB5" w:rsidRPr="002C2031" w14:paraId="5AB92314" w14:textId="77777777" w:rsidTr="002C7B5A">
        <w:trPr>
          <w:trHeight w:val="230"/>
          <w:jc w:val="center"/>
        </w:trPr>
        <w:tc>
          <w:tcPr>
            <w:cnfStyle w:val="001000000000" w:firstRow="0" w:lastRow="0" w:firstColumn="1" w:lastColumn="0" w:oddVBand="0" w:evenVBand="0" w:oddHBand="0" w:evenHBand="0" w:firstRowFirstColumn="0" w:firstRowLastColumn="0" w:lastRowFirstColumn="0" w:lastRowLastColumn="0"/>
            <w:tcW w:w="1296" w:type="dxa"/>
            <w:vMerge/>
            <w:noWrap/>
            <w:vAlign w:val="center"/>
            <w:hideMark/>
          </w:tcPr>
          <w:p w14:paraId="7A871FF0" w14:textId="77777777" w:rsidR="00A23BB5" w:rsidRPr="002C2031" w:rsidRDefault="00A23BB5" w:rsidP="00A23BB5">
            <w:pPr>
              <w:keepNext/>
              <w:spacing w:after="100" w:afterAutospacing="1"/>
              <w:jc w:val="center"/>
              <w:rPr>
                <w:rFonts w:ascii="Arial" w:hAnsi="Arial" w:cs="Arial"/>
                <w:color w:val="000000"/>
                <w:sz w:val="16"/>
                <w:szCs w:val="16"/>
              </w:rPr>
            </w:pPr>
          </w:p>
        </w:tc>
        <w:tc>
          <w:tcPr>
            <w:tcW w:w="1728" w:type="dxa"/>
            <w:noWrap/>
            <w:vAlign w:val="center"/>
            <w:hideMark/>
          </w:tcPr>
          <w:p w14:paraId="2CE12244" w14:textId="77777777" w:rsidR="00A23BB5" w:rsidRPr="002C2031" w:rsidRDefault="00A23BB5" w:rsidP="00A23BB5">
            <w:pPr>
              <w:keepNext/>
              <w:spacing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2C2031">
              <w:rPr>
                <w:rFonts w:ascii="Arial" w:hAnsi="Arial" w:cs="Arial"/>
                <w:color w:val="000000"/>
                <w:sz w:val="16"/>
                <w:szCs w:val="16"/>
              </w:rPr>
              <w:t>Optimista</w:t>
            </w:r>
          </w:p>
        </w:tc>
        <w:tc>
          <w:tcPr>
            <w:tcW w:w="1296" w:type="dxa"/>
            <w:noWrap/>
            <w:vAlign w:val="center"/>
            <w:hideMark/>
          </w:tcPr>
          <w:p w14:paraId="53EC49B8" w14:textId="2E56717F"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101,674,382</w:t>
            </w:r>
          </w:p>
        </w:tc>
        <w:tc>
          <w:tcPr>
            <w:tcW w:w="1260" w:type="dxa"/>
            <w:noWrap/>
            <w:vAlign w:val="center"/>
            <w:hideMark/>
          </w:tcPr>
          <w:p w14:paraId="2AD4E878" w14:textId="30C9BD67"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95,597,104</w:t>
            </w:r>
          </w:p>
        </w:tc>
        <w:tc>
          <w:tcPr>
            <w:tcW w:w="1152" w:type="dxa"/>
            <w:noWrap/>
            <w:vAlign w:val="center"/>
            <w:hideMark/>
          </w:tcPr>
          <w:p w14:paraId="44E70827" w14:textId="67305605"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79,953,663</w:t>
            </w:r>
          </w:p>
        </w:tc>
        <w:tc>
          <w:tcPr>
            <w:tcW w:w="1155" w:type="dxa"/>
            <w:noWrap/>
            <w:vAlign w:val="center"/>
            <w:hideMark/>
          </w:tcPr>
          <w:p w14:paraId="6E30A1B9" w14:textId="558853CF" w:rsidR="00A23BB5" w:rsidRPr="00A23BB5" w:rsidRDefault="00A23BB5" w:rsidP="00A23BB5">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A23BB5">
              <w:rPr>
                <w:rFonts w:ascii="Arial" w:hAnsi="Arial" w:cs="Arial"/>
                <w:color w:val="000000"/>
                <w:sz w:val="16"/>
                <w:szCs w:val="16"/>
              </w:rPr>
              <w:t>67,468,200</w:t>
            </w:r>
          </w:p>
        </w:tc>
      </w:tr>
    </w:tbl>
    <w:p w14:paraId="0B838D43" w14:textId="77777777" w:rsidR="00987350" w:rsidRPr="002C2031" w:rsidRDefault="00987350" w:rsidP="00987350">
      <w:pPr>
        <w:keepNext/>
        <w:autoSpaceDE w:val="0"/>
        <w:autoSpaceDN w:val="0"/>
        <w:adjustRightInd w:val="0"/>
        <w:spacing w:after="100" w:afterAutospacing="1"/>
        <w:jc w:val="center"/>
        <w:rPr>
          <w:rFonts w:ascii="Arial" w:hAnsi="Arial" w:cs="Arial"/>
          <w:sz w:val="18"/>
          <w:szCs w:val="16"/>
        </w:rPr>
      </w:pPr>
      <w:r w:rsidRPr="002C2031">
        <w:rPr>
          <w:rFonts w:ascii="Arial" w:hAnsi="Arial" w:cs="Arial"/>
          <w:sz w:val="18"/>
          <w:szCs w:val="16"/>
        </w:rPr>
        <w:br/>
        <w:t>Fuente: Elaboración de los autores.</w:t>
      </w:r>
    </w:p>
    <w:p w14:paraId="767B04AC" w14:textId="518884E8" w:rsidR="00987350" w:rsidRPr="00210A53" w:rsidRDefault="00987350" w:rsidP="006431D5">
      <w:pPr>
        <w:autoSpaceDE w:val="0"/>
        <w:autoSpaceDN w:val="0"/>
        <w:adjustRightInd w:val="0"/>
        <w:spacing w:after="100" w:afterAutospacing="1"/>
        <w:jc w:val="both"/>
        <w:rPr>
          <w:rFonts w:ascii="Arial" w:hAnsi="Arial" w:cs="Arial"/>
          <w:sz w:val="22"/>
          <w:szCs w:val="22"/>
        </w:rPr>
      </w:pPr>
      <w:r w:rsidRPr="002C2031">
        <w:rPr>
          <w:rFonts w:ascii="Arial" w:hAnsi="Arial" w:cs="Arial"/>
          <w:sz w:val="22"/>
          <w:szCs w:val="22"/>
        </w:rPr>
        <w:t>Los diferentes escenarios de beneficios del análisis complementario con un horizonte de diez años se muestran en la Tabla 6 y oscilan entre US$</w:t>
      </w:r>
      <w:r w:rsidR="002C7B5A" w:rsidRPr="002C2031">
        <w:rPr>
          <w:rFonts w:ascii="Arial" w:hAnsi="Arial" w:cs="Arial"/>
          <w:sz w:val="22"/>
          <w:szCs w:val="22"/>
        </w:rPr>
        <w:t>26.7</w:t>
      </w:r>
      <w:r w:rsidRPr="002C2031">
        <w:rPr>
          <w:rFonts w:ascii="Arial" w:hAnsi="Arial" w:cs="Arial"/>
          <w:sz w:val="22"/>
          <w:szCs w:val="22"/>
        </w:rPr>
        <w:t xml:space="preserve"> y US$</w:t>
      </w:r>
      <w:r w:rsidR="00A23BB5">
        <w:rPr>
          <w:rFonts w:ascii="Arial" w:hAnsi="Arial" w:cs="Arial"/>
          <w:sz w:val="22"/>
          <w:szCs w:val="22"/>
        </w:rPr>
        <w:t>101</w:t>
      </w:r>
      <w:r w:rsidR="002C7B5A" w:rsidRPr="002C2031">
        <w:rPr>
          <w:rFonts w:ascii="Arial" w:hAnsi="Arial" w:cs="Arial"/>
          <w:sz w:val="22"/>
          <w:szCs w:val="22"/>
        </w:rPr>
        <w:t xml:space="preserve"> </w:t>
      </w:r>
      <w:r w:rsidRPr="002C2031">
        <w:rPr>
          <w:rFonts w:ascii="Arial" w:hAnsi="Arial" w:cs="Arial"/>
          <w:sz w:val="22"/>
          <w:szCs w:val="22"/>
        </w:rPr>
        <w:t>millones. Sin</w:t>
      </w:r>
      <w:r w:rsidRPr="00CE1598">
        <w:rPr>
          <w:rFonts w:ascii="Arial" w:hAnsi="Arial" w:cs="Arial"/>
          <w:sz w:val="22"/>
          <w:szCs w:val="22"/>
        </w:rPr>
        <w:t xml:space="preserve"> embargo, cabe resaltar que dichos beneficios dependen de inversiones adicionales posteriores</w:t>
      </w:r>
      <w:r w:rsidRPr="00210A53">
        <w:rPr>
          <w:rFonts w:ascii="Arial" w:hAnsi="Arial" w:cs="Arial"/>
          <w:sz w:val="22"/>
          <w:szCs w:val="22"/>
        </w:rPr>
        <w:t xml:space="preserve"> al programa. </w:t>
      </w:r>
    </w:p>
    <w:p w14:paraId="51C1A3F4" w14:textId="3843BDBB" w:rsidR="006D26AB" w:rsidRPr="00210A53" w:rsidRDefault="00892CF3" w:rsidP="00892CF3">
      <w:pPr>
        <w:pStyle w:val="Heading2"/>
        <w:rPr>
          <w:rFonts w:eastAsia="Calibri" w:cs="Arial"/>
        </w:rPr>
      </w:pPr>
      <w:bookmarkStart w:id="37" w:name="_Toc296257189"/>
      <w:bookmarkStart w:id="38" w:name="_Toc513465014"/>
      <w:bookmarkStart w:id="39" w:name="_Toc100512106"/>
      <w:r w:rsidRPr="00210A53">
        <w:rPr>
          <w:rFonts w:cs="Arial"/>
        </w:rPr>
        <w:t xml:space="preserve">C. </w:t>
      </w:r>
      <w:r w:rsidR="007653E3" w:rsidRPr="00210A53">
        <w:rPr>
          <w:rFonts w:cs="Arial"/>
        </w:rPr>
        <w:t>A</w:t>
      </w:r>
      <w:r w:rsidR="006D26AB" w:rsidRPr="00210A53">
        <w:rPr>
          <w:rFonts w:cs="Arial"/>
        </w:rPr>
        <w:t>n</w:t>
      </w:r>
      <w:r w:rsidR="006D26AB" w:rsidRPr="00210A53">
        <w:rPr>
          <w:rFonts w:eastAsia="Calibri" w:cs="Arial"/>
        </w:rPr>
        <w:t>álisis</w:t>
      </w:r>
      <w:r w:rsidR="006D26AB" w:rsidRPr="00210A53">
        <w:rPr>
          <w:rFonts w:cs="Arial"/>
        </w:rPr>
        <w:t xml:space="preserve"> </w:t>
      </w:r>
      <w:r w:rsidR="00BC66F4" w:rsidRPr="00210A53">
        <w:rPr>
          <w:rFonts w:eastAsia="Calibri" w:cs="Arial"/>
        </w:rPr>
        <w:t>c</w:t>
      </w:r>
      <w:r w:rsidR="006D26AB" w:rsidRPr="00210A53">
        <w:rPr>
          <w:rFonts w:eastAsia="Calibri" w:cs="Arial"/>
        </w:rPr>
        <w:t>osto</w:t>
      </w:r>
      <w:r w:rsidR="006D26AB" w:rsidRPr="00210A53">
        <w:rPr>
          <w:rFonts w:cs="Arial"/>
        </w:rPr>
        <w:t xml:space="preserve"> – </w:t>
      </w:r>
      <w:r w:rsidR="00BC66F4" w:rsidRPr="00210A53">
        <w:rPr>
          <w:rFonts w:eastAsia="Calibri" w:cs="Arial"/>
        </w:rPr>
        <w:t>b</w:t>
      </w:r>
      <w:r w:rsidR="006D26AB" w:rsidRPr="00210A53">
        <w:rPr>
          <w:rFonts w:eastAsia="Calibri" w:cs="Arial"/>
        </w:rPr>
        <w:t>eneficio</w:t>
      </w:r>
      <w:bookmarkEnd w:id="37"/>
      <w:bookmarkEnd w:id="38"/>
      <w:bookmarkEnd w:id="39"/>
    </w:p>
    <w:p w14:paraId="2E5F2CA8" w14:textId="58A5363A" w:rsidR="00B649DD" w:rsidRPr="00B41D31" w:rsidRDefault="00E04C89" w:rsidP="006813A8">
      <w:pPr>
        <w:pStyle w:val="Heading3"/>
        <w:numPr>
          <w:ilvl w:val="0"/>
          <w:numId w:val="0"/>
        </w:numPr>
        <w:jc w:val="both"/>
        <w:rPr>
          <w:rFonts w:ascii="Arial" w:hAnsi="Arial" w:cs="Arial"/>
          <w:color w:val="auto"/>
        </w:rPr>
      </w:pPr>
      <w:bookmarkStart w:id="40" w:name="_Toc100512107"/>
      <w:r>
        <w:rPr>
          <w:rFonts w:ascii="Arial" w:hAnsi="Arial" w:cs="Arial"/>
          <w:color w:val="auto"/>
        </w:rPr>
        <w:t>Componente 1</w:t>
      </w:r>
      <w:r w:rsidR="00BA7CFA">
        <w:rPr>
          <w:rFonts w:ascii="Arial" w:hAnsi="Arial" w:cs="Arial"/>
          <w:color w:val="auto"/>
        </w:rPr>
        <w:t>-2</w:t>
      </w:r>
      <w:r>
        <w:rPr>
          <w:rFonts w:ascii="Arial" w:hAnsi="Arial" w:cs="Arial"/>
          <w:color w:val="auto"/>
        </w:rPr>
        <w:t xml:space="preserve">: </w:t>
      </w:r>
      <w:r w:rsidR="009C4326">
        <w:rPr>
          <w:rFonts w:ascii="Arial" w:hAnsi="Arial" w:cs="Arial"/>
          <w:color w:val="auto"/>
        </w:rPr>
        <w:t>Apoyo a la reestructuración, reorganización e integración de las redes de atención a la salud, y fortalecimiento de la gestión, mejora de la eficiencia y calidad del sistema sanitario</w:t>
      </w:r>
      <w:bookmarkEnd w:id="40"/>
    </w:p>
    <w:p w14:paraId="55BC2834" w14:textId="77777777" w:rsidR="00B649DD" w:rsidRPr="00210A53" w:rsidRDefault="00B649DD" w:rsidP="001E4C33">
      <w:pPr>
        <w:jc w:val="both"/>
        <w:rPr>
          <w:rFonts w:ascii="Arial" w:hAnsi="Arial" w:cs="Arial"/>
          <w:sz w:val="22"/>
          <w:szCs w:val="22"/>
        </w:rPr>
      </w:pPr>
    </w:p>
    <w:p w14:paraId="38C0744B" w14:textId="5B0A321B" w:rsidR="00F650BB" w:rsidRPr="00020675" w:rsidRDefault="00BF6C50" w:rsidP="001E4C33">
      <w:pPr>
        <w:jc w:val="both"/>
        <w:rPr>
          <w:rFonts w:ascii="Arial" w:hAnsi="Arial" w:cs="Arial"/>
          <w:sz w:val="22"/>
          <w:szCs w:val="22"/>
        </w:rPr>
      </w:pPr>
      <w:r w:rsidRPr="00210A53">
        <w:rPr>
          <w:rFonts w:ascii="Arial" w:hAnsi="Arial" w:cs="Arial"/>
          <w:sz w:val="22"/>
          <w:szCs w:val="22"/>
        </w:rPr>
        <w:t>El costo de programa</w:t>
      </w:r>
      <w:r w:rsidR="00AE6477">
        <w:rPr>
          <w:rFonts w:ascii="Arial" w:hAnsi="Arial" w:cs="Arial"/>
          <w:sz w:val="22"/>
          <w:szCs w:val="22"/>
        </w:rPr>
        <w:t xml:space="preserve"> del componente 1 y 2</w:t>
      </w:r>
      <w:r w:rsidRPr="00210A53">
        <w:rPr>
          <w:rFonts w:ascii="Arial" w:hAnsi="Arial" w:cs="Arial"/>
          <w:sz w:val="22"/>
          <w:szCs w:val="22"/>
        </w:rPr>
        <w:t xml:space="preserve"> asciende </w:t>
      </w:r>
      <w:r w:rsidRPr="00020675">
        <w:rPr>
          <w:rFonts w:ascii="Arial" w:hAnsi="Arial" w:cs="Arial"/>
          <w:sz w:val="22"/>
          <w:szCs w:val="22"/>
        </w:rPr>
        <w:t>a US$</w:t>
      </w:r>
      <w:r w:rsidR="00E7612A" w:rsidRPr="00020675">
        <w:rPr>
          <w:rFonts w:ascii="Arial" w:hAnsi="Arial" w:cs="Arial"/>
          <w:sz w:val="22"/>
          <w:szCs w:val="22"/>
        </w:rPr>
        <w:t>7</w:t>
      </w:r>
      <w:r w:rsidR="0070165A">
        <w:rPr>
          <w:rFonts w:ascii="Arial" w:hAnsi="Arial" w:cs="Arial"/>
          <w:sz w:val="22"/>
          <w:szCs w:val="22"/>
        </w:rPr>
        <w:t>9</w:t>
      </w:r>
      <w:r w:rsidR="004F2EAB" w:rsidRPr="00020675">
        <w:rPr>
          <w:rFonts w:ascii="Arial" w:hAnsi="Arial" w:cs="Arial"/>
          <w:sz w:val="22"/>
          <w:szCs w:val="22"/>
        </w:rPr>
        <w:t xml:space="preserve"> </w:t>
      </w:r>
      <w:r w:rsidR="00F650BB" w:rsidRPr="00020675">
        <w:rPr>
          <w:rFonts w:ascii="Arial" w:hAnsi="Arial" w:cs="Arial"/>
          <w:sz w:val="22"/>
          <w:szCs w:val="22"/>
        </w:rPr>
        <w:t>millones. El horizonte temporal del anál</w:t>
      </w:r>
      <w:r w:rsidR="00AF14C6" w:rsidRPr="00020675">
        <w:rPr>
          <w:rFonts w:ascii="Arial" w:hAnsi="Arial" w:cs="Arial"/>
          <w:sz w:val="22"/>
          <w:szCs w:val="22"/>
        </w:rPr>
        <w:t>isis económico comprende de 20</w:t>
      </w:r>
      <w:r w:rsidR="004F2EAB" w:rsidRPr="00020675">
        <w:rPr>
          <w:rFonts w:ascii="Arial" w:hAnsi="Arial" w:cs="Arial"/>
          <w:sz w:val="22"/>
          <w:szCs w:val="22"/>
        </w:rPr>
        <w:t>2</w:t>
      </w:r>
      <w:r w:rsidR="00BB57EF" w:rsidRPr="00020675">
        <w:rPr>
          <w:rFonts w:ascii="Arial" w:hAnsi="Arial" w:cs="Arial"/>
          <w:sz w:val="22"/>
          <w:szCs w:val="22"/>
        </w:rPr>
        <w:t>2</w:t>
      </w:r>
      <w:r w:rsidR="00AF14C6" w:rsidRPr="00020675">
        <w:rPr>
          <w:rFonts w:ascii="Arial" w:hAnsi="Arial" w:cs="Arial"/>
          <w:sz w:val="22"/>
          <w:szCs w:val="22"/>
        </w:rPr>
        <w:t xml:space="preserve"> a 202</w:t>
      </w:r>
      <w:r w:rsidR="00BB57EF" w:rsidRPr="00020675">
        <w:rPr>
          <w:rFonts w:ascii="Arial" w:hAnsi="Arial" w:cs="Arial"/>
          <w:sz w:val="22"/>
          <w:szCs w:val="22"/>
        </w:rPr>
        <w:t>7</w:t>
      </w:r>
      <w:r w:rsidR="00F650BB" w:rsidRPr="00020675">
        <w:rPr>
          <w:rFonts w:ascii="Arial" w:hAnsi="Arial" w:cs="Arial"/>
          <w:sz w:val="22"/>
          <w:szCs w:val="22"/>
        </w:rPr>
        <w:t>. Adicionalmente a los costos</w:t>
      </w:r>
      <w:r w:rsidR="001E4C33" w:rsidRPr="00020675">
        <w:rPr>
          <w:rFonts w:ascii="Arial" w:hAnsi="Arial" w:cs="Arial"/>
          <w:sz w:val="22"/>
          <w:szCs w:val="22"/>
        </w:rPr>
        <w:t xml:space="preserve"> </w:t>
      </w:r>
      <w:r w:rsidR="008A59B7" w:rsidRPr="00020675">
        <w:rPr>
          <w:rFonts w:ascii="Arial" w:hAnsi="Arial" w:cs="Arial"/>
          <w:sz w:val="22"/>
          <w:szCs w:val="22"/>
        </w:rPr>
        <w:t xml:space="preserve">de la ampliación, mejora y modernización de la red de salud del </w:t>
      </w:r>
      <w:r w:rsidR="00BB57EF" w:rsidRPr="00020675">
        <w:rPr>
          <w:rFonts w:ascii="Arial" w:hAnsi="Arial" w:cs="Arial"/>
          <w:sz w:val="22"/>
          <w:szCs w:val="22"/>
        </w:rPr>
        <w:t>ESE</w:t>
      </w:r>
      <w:r w:rsidR="000A051F" w:rsidRPr="00020675">
        <w:rPr>
          <w:rFonts w:ascii="Arial" w:eastAsiaTheme="minorHAnsi" w:hAnsi="Arial" w:cs="Arial"/>
          <w:b/>
          <w:bCs/>
          <w:sz w:val="22"/>
          <w:szCs w:val="22"/>
        </w:rPr>
        <w:t xml:space="preserve">, </w:t>
      </w:r>
      <w:r w:rsidR="00F650BB" w:rsidRPr="00020675">
        <w:rPr>
          <w:rFonts w:ascii="Arial" w:hAnsi="Arial" w:cs="Arial"/>
          <w:sz w:val="22"/>
          <w:szCs w:val="22"/>
        </w:rPr>
        <w:t>se deben incorporar los costos operativos y costos de oportunidad</w:t>
      </w:r>
      <w:r w:rsidR="001B22F6" w:rsidRPr="00020675">
        <w:rPr>
          <w:rFonts w:ascii="Arial" w:hAnsi="Arial" w:cs="Arial"/>
          <w:sz w:val="22"/>
          <w:szCs w:val="22"/>
        </w:rPr>
        <w:t xml:space="preserve">. </w:t>
      </w:r>
      <w:r w:rsidR="00F650BB" w:rsidRPr="00020675">
        <w:rPr>
          <w:rFonts w:ascii="Arial" w:hAnsi="Arial" w:cs="Arial"/>
          <w:sz w:val="22"/>
          <w:szCs w:val="22"/>
        </w:rPr>
        <w:t>Los costos operativos incluyen los costos de personal, administración y funcionamiento</w:t>
      </w:r>
      <w:r w:rsidR="008A59B7" w:rsidRPr="00020675">
        <w:rPr>
          <w:rFonts w:ascii="Arial" w:hAnsi="Arial" w:cs="Arial"/>
          <w:sz w:val="22"/>
          <w:szCs w:val="22"/>
        </w:rPr>
        <w:t xml:space="preserve"> </w:t>
      </w:r>
      <w:r w:rsidR="00D774D6" w:rsidRPr="00020675">
        <w:rPr>
          <w:rFonts w:ascii="Arial" w:hAnsi="Arial" w:cs="Arial"/>
          <w:sz w:val="22"/>
          <w:szCs w:val="22"/>
        </w:rPr>
        <w:t xml:space="preserve">por la ampliación, reforma y construcción de nuevos </w:t>
      </w:r>
      <w:proofErr w:type="spellStart"/>
      <w:r w:rsidR="00BB57EF" w:rsidRPr="00020675">
        <w:rPr>
          <w:rFonts w:ascii="Arial" w:hAnsi="Arial" w:cs="Arial"/>
          <w:sz w:val="22"/>
          <w:szCs w:val="22"/>
        </w:rPr>
        <w:t>hspitales</w:t>
      </w:r>
      <w:proofErr w:type="spellEnd"/>
      <w:r w:rsidR="00D774D6" w:rsidRPr="00020675">
        <w:rPr>
          <w:rFonts w:ascii="Arial" w:hAnsi="Arial" w:cs="Arial"/>
          <w:sz w:val="22"/>
          <w:szCs w:val="22"/>
        </w:rPr>
        <w:t xml:space="preserve">, centros de salud especializados, y hospitales, y los costos de instalación y mantenimiento de nuevas tecnologías. </w:t>
      </w:r>
    </w:p>
    <w:p w14:paraId="4A3A353E" w14:textId="77777777" w:rsidR="00F650BB" w:rsidRPr="00020675" w:rsidRDefault="00F650BB" w:rsidP="00F650BB">
      <w:pPr>
        <w:jc w:val="both"/>
        <w:rPr>
          <w:rFonts w:ascii="Arial" w:hAnsi="Arial" w:cs="Arial"/>
          <w:sz w:val="22"/>
          <w:szCs w:val="22"/>
        </w:rPr>
      </w:pPr>
    </w:p>
    <w:p w14:paraId="03283378" w14:textId="41D758CB" w:rsidR="009B46A8" w:rsidRPr="00210A53" w:rsidRDefault="00F650BB" w:rsidP="00F650BB">
      <w:pPr>
        <w:jc w:val="both"/>
        <w:rPr>
          <w:rFonts w:ascii="Arial" w:hAnsi="Arial" w:cs="Arial"/>
          <w:sz w:val="22"/>
          <w:szCs w:val="22"/>
        </w:rPr>
      </w:pPr>
      <w:r w:rsidRPr="00020675">
        <w:rPr>
          <w:rFonts w:ascii="Arial" w:hAnsi="Arial" w:cs="Arial"/>
          <w:sz w:val="22"/>
          <w:szCs w:val="22"/>
        </w:rPr>
        <w:t>De forma conservadora, para</w:t>
      </w:r>
      <w:r w:rsidR="008E0235" w:rsidRPr="00020675">
        <w:rPr>
          <w:rFonts w:ascii="Arial" w:hAnsi="Arial" w:cs="Arial"/>
          <w:sz w:val="22"/>
          <w:szCs w:val="22"/>
        </w:rPr>
        <w:t xml:space="preserve"> estimar los costos </w:t>
      </w:r>
      <w:r w:rsidRPr="00020675">
        <w:rPr>
          <w:rFonts w:ascii="Arial" w:hAnsi="Arial" w:cs="Arial"/>
          <w:sz w:val="22"/>
          <w:szCs w:val="22"/>
        </w:rPr>
        <w:t xml:space="preserve">operativos se </w:t>
      </w:r>
      <w:r w:rsidR="0066743E" w:rsidRPr="00020675">
        <w:rPr>
          <w:rFonts w:ascii="Arial" w:hAnsi="Arial" w:cs="Arial"/>
          <w:sz w:val="22"/>
          <w:szCs w:val="22"/>
        </w:rPr>
        <w:t>ha considerado el costo anual</w:t>
      </w:r>
      <w:r w:rsidR="007A3A41" w:rsidRPr="00020675">
        <w:rPr>
          <w:rFonts w:ascii="Arial" w:hAnsi="Arial" w:cs="Arial"/>
          <w:sz w:val="22"/>
          <w:szCs w:val="22"/>
        </w:rPr>
        <w:t xml:space="preserve"> ma</w:t>
      </w:r>
      <w:r w:rsidR="0066743E" w:rsidRPr="00020675">
        <w:rPr>
          <w:rFonts w:ascii="Arial" w:hAnsi="Arial" w:cs="Arial"/>
          <w:sz w:val="22"/>
          <w:szCs w:val="22"/>
        </w:rPr>
        <w:t>rginal asociado al programa</w:t>
      </w:r>
      <w:r w:rsidR="007A3A41" w:rsidRPr="00020675">
        <w:rPr>
          <w:rFonts w:ascii="Arial" w:hAnsi="Arial" w:cs="Arial"/>
          <w:sz w:val="22"/>
          <w:szCs w:val="22"/>
        </w:rPr>
        <w:t xml:space="preserve"> basado en </w:t>
      </w:r>
      <w:r w:rsidRPr="00020675">
        <w:rPr>
          <w:rFonts w:ascii="Arial" w:hAnsi="Arial" w:cs="Arial"/>
          <w:sz w:val="22"/>
          <w:szCs w:val="22"/>
        </w:rPr>
        <w:t>conversaciones con la asesoría té</w:t>
      </w:r>
      <w:r w:rsidR="007A3A41" w:rsidRPr="00020675">
        <w:rPr>
          <w:rFonts w:ascii="Arial" w:hAnsi="Arial" w:cs="Arial"/>
          <w:sz w:val="22"/>
          <w:szCs w:val="22"/>
        </w:rPr>
        <w:t>cnica para cada tipo de intervención</w:t>
      </w:r>
      <w:r w:rsidR="000C58BF" w:rsidRPr="00020675">
        <w:rPr>
          <w:rFonts w:ascii="Arial" w:hAnsi="Arial" w:cs="Arial"/>
          <w:sz w:val="22"/>
          <w:szCs w:val="22"/>
        </w:rPr>
        <w:t xml:space="preserve"> y costos estimados de hospitales y centros de salud en ESE</w:t>
      </w:r>
      <w:r w:rsidR="00126045" w:rsidRPr="00020675">
        <w:rPr>
          <w:rFonts w:ascii="Arial" w:hAnsi="Arial" w:cs="Arial"/>
          <w:sz w:val="22"/>
          <w:szCs w:val="22"/>
        </w:rPr>
        <w:t>.</w:t>
      </w:r>
      <w:r w:rsidR="00AB0806" w:rsidRPr="00020675">
        <w:rPr>
          <w:rFonts w:ascii="Arial" w:hAnsi="Arial" w:cs="Arial"/>
          <w:sz w:val="22"/>
          <w:szCs w:val="22"/>
        </w:rPr>
        <w:t xml:space="preserve"> </w:t>
      </w:r>
      <w:r w:rsidR="00234B4B" w:rsidRPr="00020675">
        <w:rPr>
          <w:rFonts w:ascii="Arial" w:hAnsi="Arial" w:cs="Arial"/>
          <w:sz w:val="22"/>
          <w:szCs w:val="22"/>
        </w:rPr>
        <w:t>Se supone que e</w:t>
      </w:r>
      <w:r w:rsidR="00D677BF" w:rsidRPr="00020675">
        <w:rPr>
          <w:rFonts w:ascii="Arial" w:hAnsi="Arial" w:cs="Arial"/>
          <w:sz w:val="22"/>
          <w:szCs w:val="22"/>
        </w:rPr>
        <w:t xml:space="preserve">n el caso de las </w:t>
      </w:r>
      <w:r w:rsidR="006144CB" w:rsidRPr="00020675">
        <w:rPr>
          <w:rFonts w:ascii="Arial" w:hAnsi="Arial" w:cs="Arial"/>
          <w:sz w:val="22"/>
          <w:szCs w:val="22"/>
        </w:rPr>
        <w:t xml:space="preserve">ampliaciones o equipamientos y reformas </w:t>
      </w:r>
      <w:r w:rsidR="00234B4B" w:rsidRPr="00020675">
        <w:rPr>
          <w:rFonts w:ascii="Arial" w:hAnsi="Arial" w:cs="Arial"/>
          <w:sz w:val="22"/>
          <w:szCs w:val="22"/>
        </w:rPr>
        <w:t>s</w:t>
      </w:r>
      <w:r w:rsidR="006144CB" w:rsidRPr="00020675">
        <w:rPr>
          <w:rFonts w:ascii="Arial" w:hAnsi="Arial" w:cs="Arial"/>
          <w:sz w:val="22"/>
          <w:szCs w:val="22"/>
        </w:rPr>
        <w:t>ó</w:t>
      </w:r>
      <w:r w:rsidR="00234B4B" w:rsidRPr="00020675">
        <w:rPr>
          <w:rFonts w:ascii="Arial" w:hAnsi="Arial" w:cs="Arial"/>
          <w:sz w:val="22"/>
          <w:szCs w:val="22"/>
        </w:rPr>
        <w:t xml:space="preserve">lo se considera un aumento de un </w:t>
      </w:r>
      <w:r w:rsidR="006144CB" w:rsidRPr="00020675">
        <w:rPr>
          <w:rFonts w:ascii="Arial" w:hAnsi="Arial" w:cs="Arial"/>
          <w:sz w:val="22"/>
          <w:szCs w:val="22"/>
        </w:rPr>
        <w:t>5</w:t>
      </w:r>
      <w:r w:rsidR="00234B4B" w:rsidRPr="00020675">
        <w:rPr>
          <w:rFonts w:ascii="Arial" w:hAnsi="Arial" w:cs="Arial"/>
          <w:sz w:val="22"/>
          <w:szCs w:val="22"/>
        </w:rPr>
        <w:t>%</w:t>
      </w:r>
      <w:r w:rsidR="006144CB" w:rsidRPr="00020675">
        <w:rPr>
          <w:rFonts w:ascii="Arial" w:hAnsi="Arial" w:cs="Arial"/>
          <w:sz w:val="22"/>
          <w:szCs w:val="22"/>
        </w:rPr>
        <w:t xml:space="preserve"> y 10%</w:t>
      </w:r>
      <w:r w:rsidR="00234B4B" w:rsidRPr="00020675">
        <w:rPr>
          <w:rFonts w:ascii="Arial" w:hAnsi="Arial" w:cs="Arial"/>
          <w:sz w:val="22"/>
          <w:szCs w:val="22"/>
        </w:rPr>
        <w:t xml:space="preserve"> en </w:t>
      </w:r>
      <w:r w:rsidR="003F31F3" w:rsidRPr="00020675">
        <w:rPr>
          <w:rFonts w:ascii="Arial" w:hAnsi="Arial" w:cs="Arial"/>
          <w:sz w:val="22"/>
          <w:szCs w:val="22"/>
        </w:rPr>
        <w:t>el costo</w:t>
      </w:r>
      <w:r w:rsidR="00234B4B" w:rsidRPr="00020675">
        <w:rPr>
          <w:rFonts w:ascii="Arial" w:hAnsi="Arial" w:cs="Arial"/>
          <w:sz w:val="22"/>
          <w:szCs w:val="22"/>
        </w:rPr>
        <w:t xml:space="preserve"> </w:t>
      </w:r>
      <w:r w:rsidR="003F31F3" w:rsidRPr="00020675">
        <w:rPr>
          <w:rFonts w:ascii="Arial" w:hAnsi="Arial" w:cs="Arial"/>
          <w:sz w:val="22"/>
          <w:szCs w:val="22"/>
        </w:rPr>
        <w:t>operativo</w:t>
      </w:r>
      <w:r w:rsidR="00234B4B" w:rsidRPr="00020675">
        <w:rPr>
          <w:rFonts w:ascii="Arial" w:hAnsi="Arial" w:cs="Arial"/>
          <w:sz w:val="22"/>
          <w:szCs w:val="22"/>
        </w:rPr>
        <w:t xml:space="preserve"> </w:t>
      </w:r>
      <w:r w:rsidR="003F31F3" w:rsidRPr="00020675">
        <w:rPr>
          <w:rFonts w:ascii="Arial" w:hAnsi="Arial" w:cs="Arial"/>
          <w:sz w:val="22"/>
          <w:szCs w:val="22"/>
        </w:rPr>
        <w:t>total</w:t>
      </w:r>
      <w:r w:rsidR="00D677BF" w:rsidRPr="00020675">
        <w:rPr>
          <w:rFonts w:ascii="Arial" w:hAnsi="Arial" w:cs="Arial"/>
          <w:sz w:val="22"/>
          <w:szCs w:val="22"/>
        </w:rPr>
        <w:t xml:space="preserve"> antes del programa, </w:t>
      </w:r>
      <w:r w:rsidR="006144CB" w:rsidRPr="00020675">
        <w:rPr>
          <w:rFonts w:ascii="Arial" w:hAnsi="Arial" w:cs="Arial"/>
          <w:sz w:val="22"/>
          <w:szCs w:val="22"/>
        </w:rPr>
        <w:t xml:space="preserve">respectivamente, </w:t>
      </w:r>
      <w:r w:rsidR="00234B4B" w:rsidRPr="00020675">
        <w:rPr>
          <w:rFonts w:ascii="Arial" w:hAnsi="Arial" w:cs="Arial"/>
          <w:sz w:val="22"/>
          <w:szCs w:val="22"/>
        </w:rPr>
        <w:t>ya que no se espera un aumento del costo operativo para los servicios existentes.</w:t>
      </w:r>
      <w:r w:rsidR="00DE2227" w:rsidRPr="00020675">
        <w:rPr>
          <w:rFonts w:ascii="Arial" w:hAnsi="Arial" w:cs="Arial"/>
          <w:sz w:val="22"/>
          <w:szCs w:val="22"/>
        </w:rPr>
        <w:t xml:space="preserve"> Además, en el cálculo de los costos operativos se toma en cuenta el año de finalización de cada intervención</w:t>
      </w:r>
      <w:r w:rsidR="000A5956" w:rsidRPr="00020675">
        <w:rPr>
          <w:rFonts w:ascii="Arial" w:hAnsi="Arial" w:cs="Arial"/>
          <w:sz w:val="22"/>
          <w:szCs w:val="22"/>
        </w:rPr>
        <w:t xml:space="preserve">. </w:t>
      </w:r>
      <w:r w:rsidRPr="00020675">
        <w:rPr>
          <w:rFonts w:ascii="Arial" w:hAnsi="Arial" w:cs="Arial"/>
          <w:sz w:val="22"/>
          <w:szCs w:val="22"/>
        </w:rPr>
        <w:t xml:space="preserve">El costo operativo estimado es </w:t>
      </w:r>
      <w:r w:rsidR="007A3A41" w:rsidRPr="00020675">
        <w:rPr>
          <w:rFonts w:ascii="Arial" w:hAnsi="Arial" w:cs="Arial"/>
          <w:sz w:val="22"/>
          <w:szCs w:val="22"/>
        </w:rPr>
        <w:t xml:space="preserve">alrededor de </w:t>
      </w:r>
      <w:r w:rsidR="00BB57EF" w:rsidRPr="00020675">
        <w:rPr>
          <w:rFonts w:ascii="Arial" w:hAnsi="Arial" w:cs="Arial"/>
          <w:sz w:val="22"/>
          <w:szCs w:val="22"/>
        </w:rPr>
        <w:t>US</w:t>
      </w:r>
      <w:r w:rsidR="000A5956" w:rsidRPr="00020675">
        <w:rPr>
          <w:rFonts w:ascii="Arial" w:hAnsi="Arial" w:cs="Arial"/>
          <w:sz w:val="22"/>
          <w:szCs w:val="22"/>
        </w:rPr>
        <w:t>$</w:t>
      </w:r>
      <w:r w:rsidR="00D76000" w:rsidRPr="00020675">
        <w:rPr>
          <w:rFonts w:ascii="Arial" w:hAnsi="Arial" w:cs="Arial"/>
          <w:sz w:val="22"/>
          <w:szCs w:val="22"/>
        </w:rPr>
        <w:t>44</w:t>
      </w:r>
      <w:r w:rsidR="00C96119" w:rsidRPr="00020675">
        <w:rPr>
          <w:rFonts w:ascii="Arial" w:hAnsi="Arial" w:cs="Arial"/>
          <w:sz w:val="22"/>
          <w:szCs w:val="22"/>
        </w:rPr>
        <w:t xml:space="preserve"> millones de dólares</w:t>
      </w:r>
      <w:r w:rsidR="00C96119" w:rsidRPr="00210A53">
        <w:rPr>
          <w:rFonts w:ascii="Arial" w:hAnsi="Arial" w:cs="Arial"/>
          <w:sz w:val="22"/>
          <w:szCs w:val="22"/>
        </w:rPr>
        <w:t xml:space="preserve"> durante los cinco años de ejecución del programa.  </w:t>
      </w:r>
    </w:p>
    <w:p w14:paraId="375DAE1D" w14:textId="77777777" w:rsidR="009B46A8" w:rsidRPr="00210A53" w:rsidRDefault="009B46A8" w:rsidP="00F650BB">
      <w:pPr>
        <w:jc w:val="both"/>
        <w:rPr>
          <w:rFonts w:ascii="Arial" w:hAnsi="Arial" w:cs="Arial"/>
          <w:sz w:val="22"/>
          <w:szCs w:val="22"/>
        </w:rPr>
      </w:pPr>
    </w:p>
    <w:p w14:paraId="67FB16DA" w14:textId="77777777" w:rsidR="00F650BB" w:rsidRPr="00020675" w:rsidRDefault="00F650BB" w:rsidP="00F650BB">
      <w:pPr>
        <w:spacing w:before="120" w:after="100" w:afterAutospacing="1"/>
        <w:jc w:val="both"/>
        <w:rPr>
          <w:rFonts w:ascii="Arial" w:hAnsi="Arial" w:cs="Arial"/>
          <w:sz w:val="22"/>
          <w:szCs w:val="22"/>
        </w:rPr>
      </w:pPr>
      <w:r w:rsidRPr="00210A53">
        <w:rPr>
          <w:rFonts w:ascii="Arial" w:hAnsi="Arial" w:cs="Arial"/>
          <w:sz w:val="22"/>
          <w:szCs w:val="22"/>
        </w:rPr>
        <w:t xml:space="preserve">En el análisis de corto plazo, se considera como un escenario realista que se presente un vector de gradualidad regular, un escenario de cobertura efectiva medio y se utiliza una tasa de </w:t>
      </w:r>
      <w:r w:rsidRPr="00020675">
        <w:rPr>
          <w:rFonts w:ascii="Arial" w:hAnsi="Arial" w:cs="Arial"/>
          <w:sz w:val="22"/>
          <w:szCs w:val="22"/>
        </w:rPr>
        <w:t>descuento de 3%. En este escenario, la razón costo beneficio se define de la siguiente manera:</w:t>
      </w:r>
    </w:p>
    <w:p w14:paraId="26A8A654" w14:textId="19B1E1B4" w:rsidR="00F650BB" w:rsidRPr="00020675" w:rsidRDefault="00F650BB" w:rsidP="0037146C">
      <w:pPr>
        <w:pStyle w:val="ColorfulList-Accent110"/>
        <w:numPr>
          <w:ilvl w:val="0"/>
          <w:numId w:val="2"/>
        </w:numPr>
        <w:spacing w:before="120" w:after="100" w:afterAutospacing="1"/>
        <w:rPr>
          <w:rFonts w:ascii="Arial" w:hAnsi="Arial" w:cs="Arial"/>
          <w:lang w:val="es-419"/>
        </w:rPr>
      </w:pPr>
      <w:r w:rsidRPr="00020675">
        <w:rPr>
          <w:rFonts w:ascii="Arial" w:hAnsi="Arial" w:cs="Arial"/>
          <w:lang w:val="es-419"/>
        </w:rPr>
        <w:t xml:space="preserve">Costo del </w:t>
      </w:r>
      <w:r w:rsidR="00FA0D82" w:rsidRPr="00020675">
        <w:rPr>
          <w:rFonts w:ascii="Arial" w:hAnsi="Arial" w:cs="Arial"/>
          <w:lang w:val="es-419"/>
        </w:rPr>
        <w:t>programa</w:t>
      </w:r>
      <w:r w:rsidR="00AE6477" w:rsidRPr="00020675">
        <w:rPr>
          <w:rFonts w:ascii="Arial" w:hAnsi="Arial" w:cs="Arial"/>
          <w:lang w:val="es-419"/>
        </w:rPr>
        <w:t xml:space="preserve">: </w:t>
      </w:r>
      <w:r w:rsidR="006030C1" w:rsidRPr="00020675">
        <w:rPr>
          <w:rFonts w:ascii="Arial" w:hAnsi="Arial" w:cs="Arial"/>
          <w:lang w:val="es-419"/>
        </w:rPr>
        <w:t>US$</w:t>
      </w:r>
      <w:r w:rsidR="00657442" w:rsidRPr="00020675">
        <w:rPr>
          <w:rFonts w:ascii="Arial" w:hAnsi="Arial" w:cs="Arial"/>
          <w:lang w:val="es-419"/>
        </w:rPr>
        <w:t>34.</w:t>
      </w:r>
      <w:r w:rsidR="004C79B4">
        <w:rPr>
          <w:rFonts w:ascii="Arial" w:hAnsi="Arial" w:cs="Arial"/>
          <w:lang w:val="es-419"/>
        </w:rPr>
        <w:t>055</w:t>
      </w:r>
      <w:r w:rsidR="00657442" w:rsidRPr="00020675">
        <w:rPr>
          <w:rFonts w:ascii="Arial" w:hAnsi="Arial" w:cs="Arial"/>
          <w:lang w:val="es-419"/>
        </w:rPr>
        <w:t>.000</w:t>
      </w:r>
    </w:p>
    <w:p w14:paraId="2F01A508" w14:textId="01A45952" w:rsidR="00F650BB" w:rsidRPr="00020675" w:rsidRDefault="003F31F3" w:rsidP="556FAFAE">
      <w:pPr>
        <w:pStyle w:val="ColorfulList-Accent110"/>
        <w:numPr>
          <w:ilvl w:val="0"/>
          <w:numId w:val="2"/>
        </w:numPr>
        <w:spacing w:before="120" w:after="100" w:afterAutospacing="1"/>
        <w:rPr>
          <w:rFonts w:ascii="Arial" w:hAnsi="Arial" w:cs="Arial"/>
          <w:lang w:val="es-419"/>
        </w:rPr>
      </w:pPr>
      <w:r w:rsidRPr="00020675">
        <w:rPr>
          <w:rFonts w:ascii="Arial" w:hAnsi="Arial" w:cs="Arial"/>
          <w:lang w:val="es-419"/>
        </w:rPr>
        <w:t>Costos operativos</w:t>
      </w:r>
      <w:r w:rsidR="00F650BB" w:rsidRPr="00020675">
        <w:rPr>
          <w:rFonts w:ascii="Arial" w:hAnsi="Arial" w:cs="Arial"/>
          <w:lang w:val="es-419"/>
        </w:rPr>
        <w:t xml:space="preserve">: </w:t>
      </w:r>
      <w:r w:rsidR="00DB68E1" w:rsidRPr="00020675">
        <w:rPr>
          <w:rFonts w:ascii="Arial" w:hAnsi="Arial" w:cs="Arial"/>
          <w:lang w:val="es-419"/>
        </w:rPr>
        <w:t>US</w:t>
      </w:r>
      <w:r w:rsidRPr="00020675">
        <w:rPr>
          <w:rFonts w:ascii="Arial" w:hAnsi="Arial" w:cs="Arial"/>
          <w:lang w:val="es-419"/>
        </w:rPr>
        <w:t>$</w:t>
      </w:r>
      <w:r w:rsidR="00D76000" w:rsidRPr="00020675">
        <w:rPr>
          <w:rFonts w:ascii="Arial" w:hAnsi="Arial" w:cs="Arial"/>
          <w:lang w:val="es-419"/>
        </w:rPr>
        <w:t>44.738.646</w:t>
      </w:r>
    </w:p>
    <w:p w14:paraId="7CC51A65" w14:textId="00764EF8" w:rsidR="00077B5C" w:rsidRPr="00020675" w:rsidRDefault="00DB68E1" w:rsidP="00077B5C">
      <w:pPr>
        <w:pStyle w:val="ColorfulList-Accent110"/>
        <w:numPr>
          <w:ilvl w:val="0"/>
          <w:numId w:val="2"/>
        </w:numPr>
        <w:spacing w:before="120" w:after="100" w:afterAutospacing="1"/>
        <w:rPr>
          <w:rFonts w:ascii="Arial" w:hAnsi="Arial" w:cs="Arial"/>
          <w:b/>
          <w:bCs/>
          <w:lang w:val="es-419"/>
        </w:rPr>
      </w:pPr>
      <w:r w:rsidRPr="00020675">
        <w:rPr>
          <w:rFonts w:ascii="Arial" w:hAnsi="Arial" w:cs="Arial"/>
          <w:lang w:val="es-419"/>
        </w:rPr>
        <w:t xml:space="preserve">Costo total del </w:t>
      </w:r>
      <w:r w:rsidR="00FA0D82" w:rsidRPr="00020675">
        <w:rPr>
          <w:rFonts w:ascii="Arial" w:hAnsi="Arial" w:cs="Arial"/>
          <w:lang w:val="es-419"/>
        </w:rPr>
        <w:t>programa</w:t>
      </w:r>
      <w:r w:rsidRPr="00020675">
        <w:rPr>
          <w:rFonts w:ascii="Arial" w:hAnsi="Arial" w:cs="Arial"/>
          <w:lang w:val="es-419"/>
        </w:rPr>
        <w:t xml:space="preserve">: </w:t>
      </w:r>
      <w:r w:rsidR="006030C1" w:rsidRPr="00020675">
        <w:rPr>
          <w:rFonts w:ascii="Arial" w:hAnsi="Arial" w:cs="Arial"/>
          <w:lang w:val="es-419"/>
        </w:rPr>
        <w:t>US$</w:t>
      </w:r>
      <w:r w:rsidR="00D76000" w:rsidRPr="00020675">
        <w:rPr>
          <w:rFonts w:ascii="Arial" w:hAnsi="Arial" w:cs="Arial"/>
          <w:lang w:val="es-419"/>
        </w:rPr>
        <w:t>78.</w:t>
      </w:r>
      <w:r w:rsidR="00A04966">
        <w:rPr>
          <w:rFonts w:ascii="Arial" w:hAnsi="Arial" w:cs="Arial"/>
          <w:lang w:val="es-419"/>
        </w:rPr>
        <w:t>793.</w:t>
      </w:r>
      <w:r w:rsidR="00D76000" w:rsidRPr="00020675">
        <w:rPr>
          <w:rFonts w:ascii="Arial" w:hAnsi="Arial" w:cs="Arial"/>
          <w:lang w:val="es-419"/>
        </w:rPr>
        <w:t>646</w:t>
      </w:r>
    </w:p>
    <w:p w14:paraId="31F7E8B6" w14:textId="22964B69" w:rsidR="00657442" w:rsidRPr="00020675" w:rsidRDefault="0037146C" w:rsidP="00657442">
      <w:pPr>
        <w:pStyle w:val="ColorfulList-Accent110"/>
        <w:numPr>
          <w:ilvl w:val="0"/>
          <w:numId w:val="2"/>
        </w:numPr>
        <w:spacing w:before="120" w:after="100" w:afterAutospacing="1"/>
        <w:rPr>
          <w:rFonts w:ascii="Arial" w:hAnsi="Arial" w:cs="Arial"/>
          <w:b/>
          <w:bCs/>
          <w:lang w:val="es-419"/>
        </w:rPr>
      </w:pPr>
      <w:r w:rsidRPr="00020675">
        <w:rPr>
          <w:rFonts w:ascii="Arial" w:hAnsi="Arial" w:cs="Arial"/>
          <w:lang w:val="es-419"/>
        </w:rPr>
        <w:lastRenderedPageBreak/>
        <w:t xml:space="preserve">Beneficios del </w:t>
      </w:r>
      <w:r w:rsidR="00FA0D82" w:rsidRPr="00020675">
        <w:rPr>
          <w:rFonts w:ascii="Arial" w:hAnsi="Arial" w:cs="Arial"/>
          <w:lang w:val="es-419"/>
        </w:rPr>
        <w:t>programa</w:t>
      </w:r>
      <w:r w:rsidRPr="00020675">
        <w:rPr>
          <w:rFonts w:ascii="Arial" w:hAnsi="Arial" w:cs="Arial"/>
          <w:lang w:val="es-419"/>
        </w:rPr>
        <w:t xml:space="preserve"> a 202</w:t>
      </w:r>
      <w:r w:rsidR="00AA4AA2" w:rsidRPr="00020675">
        <w:rPr>
          <w:rFonts w:ascii="Arial" w:hAnsi="Arial" w:cs="Arial"/>
          <w:lang w:val="es-419"/>
        </w:rPr>
        <w:t>6</w:t>
      </w:r>
      <w:r w:rsidR="00F650BB" w:rsidRPr="00020675">
        <w:rPr>
          <w:rFonts w:ascii="Arial" w:hAnsi="Arial" w:cs="Arial"/>
          <w:lang w:val="es-419"/>
        </w:rPr>
        <w:t xml:space="preserve"> (tasa 3%)</w:t>
      </w:r>
      <w:r w:rsidR="00DB68E1" w:rsidRPr="00020675">
        <w:rPr>
          <w:rFonts w:ascii="Arial" w:hAnsi="Arial" w:cs="Arial"/>
          <w:lang w:val="es-419"/>
        </w:rPr>
        <w:t>:</w:t>
      </w:r>
      <w:r w:rsidR="00F650BB" w:rsidRPr="00020675">
        <w:rPr>
          <w:rFonts w:ascii="Arial" w:hAnsi="Arial" w:cs="Arial"/>
          <w:lang w:val="es-419"/>
        </w:rPr>
        <w:t xml:space="preserve"> </w:t>
      </w:r>
      <w:r w:rsidR="006030C1" w:rsidRPr="00020675">
        <w:rPr>
          <w:rFonts w:ascii="Arial" w:hAnsi="Arial" w:cs="Arial"/>
          <w:lang w:val="es-419"/>
        </w:rPr>
        <w:t>$</w:t>
      </w:r>
      <w:r w:rsidR="00D76000" w:rsidRPr="00020675">
        <w:rPr>
          <w:rFonts w:ascii="Arial" w:hAnsi="Arial" w:cs="Arial"/>
          <w:lang w:val="es-419"/>
        </w:rPr>
        <w:t>137.934.239</w:t>
      </w:r>
    </w:p>
    <w:p w14:paraId="5BE9CE62" w14:textId="3146C252" w:rsidR="00657442" w:rsidRPr="00020675" w:rsidRDefault="00F650BB" w:rsidP="00657442">
      <w:pPr>
        <w:pStyle w:val="ColorfulList-Accent110"/>
        <w:numPr>
          <w:ilvl w:val="0"/>
          <w:numId w:val="2"/>
        </w:numPr>
        <w:spacing w:before="120" w:after="100" w:afterAutospacing="1" w:line="259" w:lineRule="auto"/>
        <w:rPr>
          <w:rFonts w:ascii="Arial" w:hAnsi="Arial" w:cs="Arial"/>
          <w:lang w:val="es-419"/>
        </w:rPr>
      </w:pPr>
      <w:r w:rsidRPr="00020675">
        <w:rPr>
          <w:rFonts w:ascii="Arial" w:hAnsi="Arial" w:cs="Arial"/>
          <w:lang w:val="es-419"/>
        </w:rPr>
        <w:t xml:space="preserve">Beneficio neto: </w:t>
      </w:r>
      <w:r w:rsidR="006030C1" w:rsidRPr="00020675">
        <w:rPr>
          <w:rFonts w:ascii="Arial" w:hAnsi="Arial" w:cs="Arial"/>
          <w:lang w:val="es-419"/>
        </w:rPr>
        <w:t>US$</w:t>
      </w:r>
      <w:r w:rsidR="00D76000" w:rsidRPr="00020675">
        <w:rPr>
          <w:rFonts w:ascii="Arial" w:hAnsi="Arial" w:cs="Arial"/>
          <w:lang w:val="es-419"/>
        </w:rPr>
        <w:t>59.</w:t>
      </w:r>
      <w:r w:rsidR="0070165A">
        <w:rPr>
          <w:rFonts w:ascii="Arial" w:hAnsi="Arial" w:cs="Arial"/>
          <w:lang w:val="es-419"/>
        </w:rPr>
        <w:t>140</w:t>
      </w:r>
      <w:r w:rsidR="00D76000" w:rsidRPr="00020675">
        <w:rPr>
          <w:rFonts w:ascii="Arial" w:hAnsi="Arial" w:cs="Arial"/>
          <w:lang w:val="es-419"/>
        </w:rPr>
        <w:t>.593</w:t>
      </w:r>
    </w:p>
    <w:p w14:paraId="6C2C26EA" w14:textId="3CF6D42E" w:rsidR="00F650BB" w:rsidRPr="00020675" w:rsidRDefault="00F650BB" w:rsidP="00F650BB">
      <w:pPr>
        <w:pStyle w:val="ColorfulList-Accent110"/>
        <w:numPr>
          <w:ilvl w:val="0"/>
          <w:numId w:val="2"/>
        </w:numPr>
        <w:spacing w:before="120" w:after="100" w:afterAutospacing="1"/>
        <w:jc w:val="both"/>
        <w:rPr>
          <w:rFonts w:ascii="Arial" w:hAnsi="Arial" w:cs="Arial"/>
          <w:lang w:val="es-419"/>
        </w:rPr>
      </w:pPr>
      <w:r w:rsidRPr="00020675">
        <w:rPr>
          <w:rFonts w:ascii="Arial" w:hAnsi="Arial" w:cs="Arial"/>
          <w:lang w:val="es-419"/>
        </w:rPr>
        <w:t xml:space="preserve">Razón Beneficio / Costo = </w:t>
      </w:r>
      <w:r w:rsidR="006030C1" w:rsidRPr="00020675">
        <w:rPr>
          <w:rFonts w:ascii="Arial" w:hAnsi="Arial" w:cs="Arial"/>
          <w:lang w:val="es-419"/>
        </w:rPr>
        <w:t>1.</w:t>
      </w:r>
      <w:r w:rsidR="00846BE9" w:rsidRPr="00020675">
        <w:rPr>
          <w:rFonts w:ascii="Arial" w:hAnsi="Arial" w:cs="Arial"/>
          <w:lang w:val="es-419"/>
        </w:rPr>
        <w:t>75</w:t>
      </w:r>
    </w:p>
    <w:p w14:paraId="0A55823D" w14:textId="2D1EE36A" w:rsidR="005E4A14" w:rsidRPr="00020675" w:rsidRDefault="00F650BB" w:rsidP="00F650BB">
      <w:pPr>
        <w:autoSpaceDE w:val="0"/>
        <w:autoSpaceDN w:val="0"/>
        <w:adjustRightInd w:val="0"/>
        <w:spacing w:before="120" w:after="100" w:afterAutospacing="1"/>
        <w:jc w:val="both"/>
        <w:rPr>
          <w:rFonts w:ascii="Arial" w:hAnsi="Arial" w:cs="Arial"/>
          <w:sz w:val="22"/>
          <w:szCs w:val="22"/>
        </w:rPr>
      </w:pPr>
      <w:r w:rsidRPr="00210A53">
        <w:rPr>
          <w:rFonts w:ascii="Arial" w:hAnsi="Arial" w:cs="Arial"/>
          <w:sz w:val="22"/>
          <w:szCs w:val="22"/>
        </w:rPr>
        <w:t xml:space="preserve">El análisis de sensibilidad de la razón costo beneficio resumido en la Tabla </w:t>
      </w:r>
      <w:r w:rsidR="004A7A34">
        <w:rPr>
          <w:rFonts w:ascii="Arial" w:hAnsi="Arial" w:cs="Arial"/>
          <w:sz w:val="22"/>
          <w:szCs w:val="22"/>
        </w:rPr>
        <w:t>9</w:t>
      </w:r>
      <w:r w:rsidRPr="00210A53">
        <w:rPr>
          <w:rFonts w:ascii="Arial" w:hAnsi="Arial" w:cs="Arial"/>
          <w:sz w:val="22"/>
          <w:szCs w:val="22"/>
        </w:rPr>
        <w:t xml:space="preserve"> muestra que en la mayoría de los escenarios estimados los beneficios del </w:t>
      </w:r>
      <w:r w:rsidR="00FA0D82" w:rsidRPr="00210A53">
        <w:rPr>
          <w:rFonts w:ascii="Arial" w:hAnsi="Arial" w:cs="Arial"/>
          <w:sz w:val="22"/>
          <w:szCs w:val="22"/>
        </w:rPr>
        <w:t>programa</w:t>
      </w:r>
      <w:r w:rsidRPr="00210A53">
        <w:rPr>
          <w:rFonts w:ascii="Arial" w:hAnsi="Arial" w:cs="Arial"/>
          <w:sz w:val="22"/>
          <w:szCs w:val="22"/>
        </w:rPr>
        <w:t xml:space="preserve"> son mayores a los costos</w:t>
      </w:r>
      <w:r w:rsidR="006D2E3B">
        <w:rPr>
          <w:rFonts w:ascii="Arial" w:hAnsi="Arial" w:cs="Arial"/>
          <w:sz w:val="22"/>
          <w:szCs w:val="22"/>
        </w:rPr>
        <w:t xml:space="preserve"> con un vector de gradualidad regular o rápido</w:t>
      </w:r>
      <w:r w:rsidRPr="00210A53">
        <w:rPr>
          <w:rFonts w:ascii="Arial" w:hAnsi="Arial" w:cs="Arial"/>
          <w:sz w:val="22"/>
          <w:szCs w:val="22"/>
        </w:rPr>
        <w:t xml:space="preserve">. Dada la evidencia de los impactos potenciales, así como la coherencia de </w:t>
      </w:r>
      <w:r w:rsidRPr="00020675">
        <w:rPr>
          <w:rFonts w:ascii="Arial" w:hAnsi="Arial" w:cs="Arial"/>
          <w:sz w:val="22"/>
          <w:szCs w:val="22"/>
        </w:rPr>
        <w:t>la intervención planteada, se considera que los escenarios con una razón entre el beneficio y el costo menor a uno son poco probables.</w:t>
      </w:r>
    </w:p>
    <w:p w14:paraId="7C09EF82" w14:textId="7C1183B2" w:rsidR="00E0614F" w:rsidRPr="00210A53" w:rsidRDefault="00735E0F" w:rsidP="00CC7653">
      <w:pPr>
        <w:pStyle w:val="Caption"/>
      </w:pPr>
      <w:bookmarkStart w:id="41" w:name="_Ref296181059"/>
      <w:r w:rsidRPr="00020675">
        <w:t xml:space="preserve">Tabla </w:t>
      </w:r>
      <w:bookmarkEnd w:id="41"/>
      <w:r w:rsidR="004A7A34" w:rsidRPr="00020675">
        <w:t>9</w:t>
      </w:r>
      <w:r w:rsidRPr="00020675">
        <w:t>. Análisis de sensibilidad de la razón beneficio/costo</w:t>
      </w:r>
      <w:r w:rsidR="00EE7DCC" w:rsidRPr="00020675">
        <w:t xml:space="preserve">, </w:t>
      </w:r>
      <w:r w:rsidR="00467C36" w:rsidRPr="00020675">
        <w:t xml:space="preserve">periodo </w:t>
      </w:r>
      <w:r w:rsidR="00217590" w:rsidRPr="00020675">
        <w:t>20</w:t>
      </w:r>
      <w:r w:rsidR="00002404" w:rsidRPr="00020675">
        <w:t>2</w:t>
      </w:r>
      <w:r w:rsidR="00657442" w:rsidRPr="00020675">
        <w:t>2</w:t>
      </w:r>
      <w:r w:rsidR="00EE7DCC" w:rsidRPr="00020675">
        <w:t>-20</w:t>
      </w:r>
      <w:r w:rsidR="00002404" w:rsidRPr="00020675">
        <w:t>2</w:t>
      </w:r>
      <w:r w:rsidR="00657442" w:rsidRPr="00020675">
        <w:t>7</w:t>
      </w:r>
    </w:p>
    <w:p w14:paraId="3613DFE7" w14:textId="244772B7" w:rsidR="00DC5D95" w:rsidRDefault="00DC5D95" w:rsidP="00530750">
      <w:pPr>
        <w:keepNext/>
        <w:autoSpaceDE w:val="0"/>
        <w:autoSpaceDN w:val="0"/>
        <w:adjustRightInd w:val="0"/>
        <w:jc w:val="center"/>
        <w:rPr>
          <w:rFonts w:ascii="Arial" w:hAnsi="Arial" w:cs="Arial"/>
          <w:sz w:val="16"/>
          <w:szCs w:val="16"/>
        </w:rPr>
      </w:pPr>
    </w:p>
    <w:tbl>
      <w:tblPr>
        <w:tblW w:w="6745" w:type="dxa"/>
        <w:jc w:val="center"/>
        <w:tblLook w:val="04A0" w:firstRow="1" w:lastRow="0" w:firstColumn="1" w:lastColumn="0" w:noHBand="0" w:noVBand="1"/>
      </w:tblPr>
      <w:tblGrid>
        <w:gridCol w:w="1345"/>
        <w:gridCol w:w="1728"/>
        <w:gridCol w:w="985"/>
        <w:gridCol w:w="900"/>
        <w:gridCol w:w="810"/>
        <w:gridCol w:w="977"/>
      </w:tblGrid>
      <w:tr w:rsidR="00295C7B" w:rsidRPr="002F73B6" w14:paraId="5199B192" w14:textId="77777777" w:rsidTr="00C127AC">
        <w:trPr>
          <w:trHeight w:val="576"/>
          <w:tblHeader/>
          <w:jc w:val="center"/>
        </w:trPr>
        <w:tc>
          <w:tcPr>
            <w:tcW w:w="13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087640B" w14:textId="77777777" w:rsidR="00295C7B" w:rsidRPr="002F73B6" w:rsidRDefault="00295C7B" w:rsidP="00295C7B">
            <w:pPr>
              <w:jc w:val="center"/>
              <w:rPr>
                <w:rFonts w:ascii="Arial" w:hAnsi="Arial" w:cs="Arial"/>
                <w:b/>
                <w:bCs/>
                <w:color w:val="000000"/>
                <w:sz w:val="16"/>
                <w:szCs w:val="16"/>
              </w:rPr>
            </w:pPr>
            <w:r w:rsidRPr="002F73B6">
              <w:rPr>
                <w:rFonts w:ascii="Arial" w:hAnsi="Arial" w:cs="Arial"/>
                <w:b/>
                <w:bCs/>
                <w:color w:val="000000"/>
                <w:sz w:val="16"/>
                <w:szCs w:val="16"/>
              </w:rPr>
              <w:t>Vectores de gradualidad</w:t>
            </w:r>
          </w:p>
        </w:tc>
        <w:tc>
          <w:tcPr>
            <w:tcW w:w="17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15F4F4" w14:textId="77777777" w:rsidR="00295C7B" w:rsidRPr="002F73B6" w:rsidRDefault="00295C7B" w:rsidP="00295C7B">
            <w:pPr>
              <w:jc w:val="center"/>
              <w:rPr>
                <w:rFonts w:ascii="Arial" w:hAnsi="Arial" w:cs="Arial"/>
                <w:b/>
                <w:bCs/>
                <w:color w:val="000000"/>
                <w:sz w:val="16"/>
                <w:szCs w:val="16"/>
              </w:rPr>
            </w:pPr>
            <w:r w:rsidRPr="002F73B6">
              <w:rPr>
                <w:rFonts w:ascii="Arial" w:hAnsi="Arial" w:cs="Arial"/>
                <w:b/>
                <w:bCs/>
                <w:color w:val="000000"/>
                <w:sz w:val="16"/>
                <w:szCs w:val="16"/>
              </w:rPr>
              <w:t>Escenarios de cobertura efectiva</w:t>
            </w:r>
          </w:p>
        </w:tc>
        <w:tc>
          <w:tcPr>
            <w:tcW w:w="3672"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6631140" w14:textId="77777777" w:rsidR="00295C7B" w:rsidRPr="002F73B6" w:rsidRDefault="00295C7B" w:rsidP="00295C7B">
            <w:pPr>
              <w:jc w:val="center"/>
              <w:rPr>
                <w:rFonts w:ascii="Arial" w:hAnsi="Arial" w:cs="Arial"/>
                <w:b/>
                <w:bCs/>
                <w:color w:val="000000"/>
                <w:sz w:val="16"/>
                <w:szCs w:val="16"/>
              </w:rPr>
            </w:pPr>
            <w:r w:rsidRPr="002F73B6">
              <w:rPr>
                <w:rFonts w:ascii="Arial" w:hAnsi="Arial" w:cs="Arial"/>
                <w:b/>
                <w:bCs/>
                <w:color w:val="000000"/>
                <w:sz w:val="16"/>
                <w:szCs w:val="16"/>
              </w:rPr>
              <w:t>Tasa de descuento</w:t>
            </w:r>
          </w:p>
        </w:tc>
      </w:tr>
      <w:tr w:rsidR="00295C7B" w:rsidRPr="002F73B6" w14:paraId="64D39E74" w14:textId="77777777" w:rsidTr="00C127AC">
        <w:trPr>
          <w:trHeight w:val="288"/>
          <w:tblHeader/>
          <w:jc w:val="center"/>
        </w:trPr>
        <w:tc>
          <w:tcPr>
            <w:tcW w:w="1345" w:type="dxa"/>
            <w:vMerge/>
            <w:tcBorders>
              <w:top w:val="single" w:sz="4" w:space="0" w:color="auto"/>
              <w:left w:val="single" w:sz="4" w:space="0" w:color="auto"/>
              <w:bottom w:val="single" w:sz="4" w:space="0" w:color="000000"/>
              <w:right w:val="single" w:sz="4" w:space="0" w:color="auto"/>
            </w:tcBorders>
            <w:vAlign w:val="center"/>
            <w:hideMark/>
          </w:tcPr>
          <w:p w14:paraId="103E087B" w14:textId="77777777" w:rsidR="00295C7B" w:rsidRPr="002F73B6" w:rsidRDefault="00295C7B" w:rsidP="00295C7B">
            <w:pPr>
              <w:rPr>
                <w:rFonts w:ascii="Arial" w:hAnsi="Arial" w:cs="Arial"/>
                <w:b/>
                <w:bCs/>
                <w:color w:val="000000"/>
                <w:sz w:val="16"/>
                <w:szCs w:val="16"/>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6D81360" w14:textId="77777777" w:rsidR="00295C7B" w:rsidRPr="002F73B6" w:rsidRDefault="00295C7B" w:rsidP="00295C7B">
            <w:pPr>
              <w:rPr>
                <w:rFonts w:ascii="Arial" w:hAnsi="Arial" w:cs="Arial"/>
                <w:b/>
                <w:bCs/>
                <w:color w:val="000000"/>
                <w:sz w:val="16"/>
                <w:szCs w:val="16"/>
              </w:rPr>
            </w:pPr>
          </w:p>
        </w:tc>
        <w:tc>
          <w:tcPr>
            <w:tcW w:w="985" w:type="dxa"/>
            <w:tcBorders>
              <w:top w:val="nil"/>
              <w:left w:val="nil"/>
              <w:bottom w:val="single" w:sz="4" w:space="0" w:color="auto"/>
              <w:right w:val="single" w:sz="4" w:space="0" w:color="auto"/>
            </w:tcBorders>
            <w:shd w:val="clear" w:color="000000" w:fill="EDEDED"/>
            <w:noWrap/>
            <w:vAlign w:val="center"/>
            <w:hideMark/>
          </w:tcPr>
          <w:p w14:paraId="1A6C28A9" w14:textId="77777777" w:rsidR="00295C7B" w:rsidRPr="002F73B6" w:rsidRDefault="00295C7B" w:rsidP="00295C7B">
            <w:pPr>
              <w:jc w:val="center"/>
              <w:rPr>
                <w:rFonts w:ascii="Arial" w:hAnsi="Arial" w:cs="Arial"/>
                <w:color w:val="000000"/>
                <w:sz w:val="16"/>
                <w:szCs w:val="16"/>
              </w:rPr>
            </w:pPr>
            <w:r w:rsidRPr="002F73B6">
              <w:rPr>
                <w:rFonts w:ascii="Arial" w:hAnsi="Arial" w:cs="Arial"/>
                <w:color w:val="000000"/>
                <w:sz w:val="16"/>
                <w:szCs w:val="16"/>
              </w:rPr>
              <w:t>2%</w:t>
            </w:r>
          </w:p>
        </w:tc>
        <w:tc>
          <w:tcPr>
            <w:tcW w:w="900" w:type="dxa"/>
            <w:tcBorders>
              <w:top w:val="nil"/>
              <w:left w:val="nil"/>
              <w:bottom w:val="single" w:sz="4" w:space="0" w:color="auto"/>
              <w:right w:val="single" w:sz="4" w:space="0" w:color="auto"/>
            </w:tcBorders>
            <w:shd w:val="clear" w:color="000000" w:fill="EDEDED"/>
            <w:noWrap/>
            <w:vAlign w:val="center"/>
            <w:hideMark/>
          </w:tcPr>
          <w:p w14:paraId="4260AC9E" w14:textId="77777777" w:rsidR="00295C7B" w:rsidRPr="002F73B6" w:rsidRDefault="00295C7B" w:rsidP="00295C7B">
            <w:pPr>
              <w:jc w:val="center"/>
              <w:rPr>
                <w:rFonts w:ascii="Arial" w:hAnsi="Arial" w:cs="Arial"/>
                <w:color w:val="000000"/>
                <w:sz w:val="16"/>
                <w:szCs w:val="16"/>
              </w:rPr>
            </w:pPr>
            <w:r w:rsidRPr="002F73B6">
              <w:rPr>
                <w:rFonts w:ascii="Arial" w:hAnsi="Arial" w:cs="Arial"/>
                <w:color w:val="000000"/>
                <w:sz w:val="16"/>
                <w:szCs w:val="16"/>
              </w:rPr>
              <w:t>3%</w:t>
            </w:r>
          </w:p>
        </w:tc>
        <w:tc>
          <w:tcPr>
            <w:tcW w:w="810" w:type="dxa"/>
            <w:tcBorders>
              <w:top w:val="nil"/>
              <w:left w:val="nil"/>
              <w:bottom w:val="single" w:sz="4" w:space="0" w:color="auto"/>
              <w:right w:val="single" w:sz="4" w:space="0" w:color="auto"/>
            </w:tcBorders>
            <w:shd w:val="clear" w:color="000000" w:fill="EDEDED"/>
            <w:noWrap/>
            <w:vAlign w:val="center"/>
            <w:hideMark/>
          </w:tcPr>
          <w:p w14:paraId="11CAFF58" w14:textId="77777777" w:rsidR="00295C7B" w:rsidRPr="002F73B6" w:rsidRDefault="00295C7B" w:rsidP="00295C7B">
            <w:pPr>
              <w:jc w:val="center"/>
              <w:rPr>
                <w:rFonts w:ascii="Arial" w:hAnsi="Arial" w:cs="Arial"/>
                <w:color w:val="000000"/>
                <w:sz w:val="16"/>
                <w:szCs w:val="16"/>
              </w:rPr>
            </w:pPr>
            <w:r w:rsidRPr="002F73B6">
              <w:rPr>
                <w:rFonts w:ascii="Arial" w:hAnsi="Arial" w:cs="Arial"/>
                <w:color w:val="000000"/>
                <w:sz w:val="16"/>
                <w:szCs w:val="16"/>
              </w:rPr>
              <w:t>6%</w:t>
            </w:r>
          </w:p>
        </w:tc>
        <w:tc>
          <w:tcPr>
            <w:tcW w:w="977" w:type="dxa"/>
            <w:tcBorders>
              <w:top w:val="nil"/>
              <w:left w:val="nil"/>
              <w:bottom w:val="single" w:sz="4" w:space="0" w:color="auto"/>
              <w:right w:val="single" w:sz="4" w:space="0" w:color="auto"/>
            </w:tcBorders>
            <w:shd w:val="clear" w:color="000000" w:fill="EDEDED"/>
            <w:noWrap/>
            <w:vAlign w:val="center"/>
            <w:hideMark/>
          </w:tcPr>
          <w:p w14:paraId="33B2938F" w14:textId="77777777" w:rsidR="00295C7B" w:rsidRPr="002F73B6" w:rsidRDefault="00295C7B" w:rsidP="00295C7B">
            <w:pPr>
              <w:jc w:val="center"/>
              <w:rPr>
                <w:rFonts w:ascii="Arial" w:hAnsi="Arial" w:cs="Arial"/>
                <w:color w:val="000000"/>
                <w:sz w:val="16"/>
                <w:szCs w:val="16"/>
              </w:rPr>
            </w:pPr>
            <w:r w:rsidRPr="002F73B6">
              <w:rPr>
                <w:rFonts w:ascii="Arial" w:hAnsi="Arial" w:cs="Arial"/>
                <w:color w:val="000000"/>
                <w:sz w:val="16"/>
                <w:szCs w:val="16"/>
              </w:rPr>
              <w:t>9%</w:t>
            </w:r>
          </w:p>
        </w:tc>
      </w:tr>
      <w:tr w:rsidR="009021F6" w:rsidRPr="002F73B6" w14:paraId="45E498BD"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2572A940" w14:textId="77777777" w:rsidR="009021F6" w:rsidRPr="002F73B6" w:rsidRDefault="009021F6" w:rsidP="009021F6">
            <w:pPr>
              <w:jc w:val="center"/>
              <w:rPr>
                <w:rFonts w:ascii="Arial" w:hAnsi="Arial" w:cs="Arial"/>
                <w:color w:val="000000"/>
                <w:sz w:val="16"/>
                <w:szCs w:val="16"/>
              </w:rPr>
            </w:pPr>
            <w:r w:rsidRPr="002F73B6">
              <w:rPr>
                <w:rFonts w:ascii="Arial" w:hAnsi="Arial" w:cs="Arial"/>
                <w:color w:val="000000"/>
                <w:sz w:val="16"/>
                <w:szCs w:val="16"/>
              </w:rPr>
              <w:t>Lento</w:t>
            </w:r>
          </w:p>
        </w:tc>
        <w:tc>
          <w:tcPr>
            <w:tcW w:w="1728" w:type="dxa"/>
            <w:tcBorders>
              <w:top w:val="nil"/>
              <w:left w:val="nil"/>
              <w:bottom w:val="single" w:sz="4" w:space="0" w:color="auto"/>
              <w:right w:val="single" w:sz="4" w:space="0" w:color="auto"/>
            </w:tcBorders>
            <w:shd w:val="clear" w:color="000000" w:fill="FFFFFF"/>
            <w:noWrap/>
            <w:vAlign w:val="center"/>
            <w:hideMark/>
          </w:tcPr>
          <w:p w14:paraId="3AD3BF50" w14:textId="77777777" w:rsidR="009021F6" w:rsidRPr="002F73B6" w:rsidRDefault="009021F6" w:rsidP="009021F6">
            <w:pPr>
              <w:rPr>
                <w:rFonts w:ascii="Arial" w:hAnsi="Arial" w:cs="Arial"/>
                <w:color w:val="000000"/>
                <w:sz w:val="16"/>
                <w:szCs w:val="16"/>
              </w:rPr>
            </w:pPr>
            <w:r w:rsidRPr="002F73B6">
              <w:rPr>
                <w:rFonts w:ascii="Arial" w:hAnsi="Arial" w:cs="Arial"/>
                <w:color w:val="000000"/>
                <w:sz w:val="16"/>
                <w:szCs w:val="16"/>
              </w:rPr>
              <w:t>Pesimista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85F2957" w14:textId="5964BEB1"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1.17</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5C1E12C" w14:textId="22FC64E2"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1.12</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14:paraId="19E82469" w14:textId="4F1F0A1A"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1.00</w:t>
            </w:r>
          </w:p>
        </w:tc>
        <w:tc>
          <w:tcPr>
            <w:tcW w:w="977" w:type="dxa"/>
            <w:tcBorders>
              <w:top w:val="single" w:sz="4" w:space="0" w:color="auto"/>
              <w:left w:val="nil"/>
              <w:bottom w:val="single" w:sz="4" w:space="0" w:color="auto"/>
              <w:right w:val="single" w:sz="4" w:space="0" w:color="auto"/>
            </w:tcBorders>
            <w:shd w:val="clear" w:color="000000" w:fill="FFFFFF"/>
            <w:noWrap/>
            <w:vAlign w:val="center"/>
            <w:hideMark/>
          </w:tcPr>
          <w:p w14:paraId="79C9984C" w14:textId="6AB2B16D"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0.89</w:t>
            </w:r>
          </w:p>
        </w:tc>
      </w:tr>
      <w:tr w:rsidR="009021F6" w:rsidRPr="002F73B6" w14:paraId="57AEA2AB"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6DC471AF" w14:textId="77777777" w:rsidR="009021F6" w:rsidRPr="002F73B6" w:rsidRDefault="009021F6" w:rsidP="009021F6">
            <w:pPr>
              <w:jc w:val="center"/>
              <w:rPr>
                <w:rFonts w:ascii="Arial" w:hAnsi="Arial" w:cs="Arial"/>
                <w:color w:val="000000"/>
                <w:sz w:val="16"/>
                <w:szCs w:val="16"/>
              </w:rPr>
            </w:pPr>
            <w:r w:rsidRPr="002F73B6">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244A3D6A" w14:textId="77777777" w:rsidR="009021F6" w:rsidRPr="002F73B6" w:rsidRDefault="009021F6" w:rsidP="009021F6">
            <w:pPr>
              <w:rPr>
                <w:rFonts w:ascii="Arial" w:hAnsi="Arial" w:cs="Arial"/>
                <w:color w:val="000000"/>
                <w:sz w:val="16"/>
                <w:szCs w:val="16"/>
              </w:rPr>
            </w:pPr>
            <w:r w:rsidRPr="002F73B6">
              <w:rPr>
                <w:rFonts w:ascii="Arial" w:hAnsi="Arial" w:cs="Arial"/>
                <w:color w:val="000000"/>
                <w:sz w:val="16"/>
                <w:szCs w:val="16"/>
              </w:rPr>
              <w:t>Medio</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F22C248" w14:textId="0C74DD4F"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1.46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3841588" w14:textId="0C1617FC"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1.40</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D3ABFEB" w14:textId="709673E2"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1.25</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1E19F71" w14:textId="3293DBB1"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1.11</w:t>
            </w:r>
          </w:p>
        </w:tc>
      </w:tr>
      <w:tr w:rsidR="009021F6" w:rsidRPr="002F73B6" w14:paraId="010A5BBD" w14:textId="77777777" w:rsidTr="00C014EC">
        <w:trPr>
          <w:trHeight w:val="288"/>
          <w:jc w:val="center"/>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61A3542F" w14:textId="77777777" w:rsidR="009021F6" w:rsidRPr="002F73B6" w:rsidRDefault="009021F6" w:rsidP="009021F6">
            <w:pPr>
              <w:jc w:val="center"/>
              <w:rPr>
                <w:rFonts w:ascii="Arial" w:hAnsi="Arial" w:cs="Arial"/>
                <w:color w:val="000000"/>
                <w:sz w:val="16"/>
                <w:szCs w:val="16"/>
              </w:rPr>
            </w:pPr>
            <w:r w:rsidRPr="002F73B6">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51E175A6" w14:textId="77777777" w:rsidR="009021F6" w:rsidRPr="002F73B6" w:rsidRDefault="009021F6" w:rsidP="009021F6">
            <w:pPr>
              <w:rPr>
                <w:rFonts w:ascii="Arial" w:hAnsi="Arial" w:cs="Arial"/>
                <w:color w:val="000000"/>
                <w:sz w:val="16"/>
                <w:szCs w:val="16"/>
              </w:rPr>
            </w:pPr>
            <w:r w:rsidRPr="002F73B6">
              <w:rPr>
                <w:rFonts w:ascii="Arial" w:hAnsi="Arial" w:cs="Arial"/>
                <w:color w:val="000000"/>
                <w:sz w:val="16"/>
                <w:szCs w:val="16"/>
              </w:rPr>
              <w:t>Optimista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16B54B2" w14:textId="13D37059"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1.75</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D9D0004" w14:textId="0E5BECD6"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1.68</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B165AA4" w14:textId="582FC54E"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1.50</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3A02078" w14:textId="17E1B731"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1.33</w:t>
            </w:r>
          </w:p>
        </w:tc>
      </w:tr>
      <w:tr w:rsidR="009021F6" w:rsidRPr="002F73B6" w14:paraId="68974EA1"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056E015C" w14:textId="77777777" w:rsidR="009021F6" w:rsidRPr="002F73B6" w:rsidRDefault="009021F6" w:rsidP="009021F6">
            <w:pPr>
              <w:jc w:val="center"/>
              <w:rPr>
                <w:rFonts w:ascii="Arial" w:hAnsi="Arial" w:cs="Arial"/>
                <w:color w:val="000000"/>
                <w:sz w:val="16"/>
                <w:szCs w:val="16"/>
              </w:rPr>
            </w:pPr>
            <w:r w:rsidRPr="002F73B6">
              <w:rPr>
                <w:rFonts w:ascii="Arial" w:hAnsi="Arial" w:cs="Arial"/>
                <w:color w:val="000000"/>
                <w:sz w:val="16"/>
                <w:szCs w:val="16"/>
              </w:rPr>
              <w:t>Regular</w:t>
            </w:r>
          </w:p>
        </w:tc>
        <w:tc>
          <w:tcPr>
            <w:tcW w:w="1728" w:type="dxa"/>
            <w:tcBorders>
              <w:top w:val="nil"/>
              <w:left w:val="nil"/>
              <w:bottom w:val="single" w:sz="4" w:space="0" w:color="auto"/>
              <w:right w:val="single" w:sz="4" w:space="0" w:color="auto"/>
            </w:tcBorders>
            <w:shd w:val="clear" w:color="000000" w:fill="FFFFFF"/>
            <w:noWrap/>
            <w:vAlign w:val="center"/>
            <w:hideMark/>
          </w:tcPr>
          <w:p w14:paraId="6836D387" w14:textId="77777777" w:rsidR="009021F6" w:rsidRPr="002F73B6" w:rsidRDefault="009021F6" w:rsidP="009021F6">
            <w:pPr>
              <w:rPr>
                <w:rFonts w:ascii="Arial" w:hAnsi="Arial" w:cs="Arial"/>
                <w:color w:val="000000"/>
                <w:sz w:val="16"/>
                <w:szCs w:val="16"/>
              </w:rPr>
            </w:pPr>
            <w:r w:rsidRPr="002F73B6">
              <w:rPr>
                <w:rFonts w:ascii="Arial" w:hAnsi="Arial" w:cs="Arial"/>
                <w:color w:val="000000"/>
                <w:sz w:val="16"/>
                <w:szCs w:val="16"/>
              </w:rPr>
              <w:t>Pesimista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A5DD4B8" w14:textId="57C569EE"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1.46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CB655F0" w14:textId="30E5A8DA"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1.40</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A0B896B" w14:textId="0136576B"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1.25</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7A38E4F" w14:textId="31DC5414"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1.12</w:t>
            </w:r>
          </w:p>
        </w:tc>
      </w:tr>
      <w:tr w:rsidR="009021F6" w:rsidRPr="002F73B6" w14:paraId="26BA806C" w14:textId="77777777" w:rsidTr="00265AE3">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0FB05FD7" w14:textId="77777777" w:rsidR="009021F6" w:rsidRPr="002F73B6" w:rsidRDefault="009021F6" w:rsidP="009021F6">
            <w:pPr>
              <w:jc w:val="center"/>
              <w:rPr>
                <w:rFonts w:ascii="Arial" w:hAnsi="Arial" w:cs="Arial"/>
                <w:color w:val="000000"/>
                <w:sz w:val="16"/>
                <w:szCs w:val="16"/>
              </w:rPr>
            </w:pPr>
            <w:r w:rsidRPr="002F73B6">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7C597D6A" w14:textId="77777777" w:rsidR="009021F6" w:rsidRPr="002F73B6" w:rsidRDefault="009021F6" w:rsidP="009021F6">
            <w:pPr>
              <w:rPr>
                <w:rFonts w:ascii="Arial" w:hAnsi="Arial" w:cs="Arial"/>
                <w:color w:val="000000"/>
                <w:sz w:val="16"/>
                <w:szCs w:val="16"/>
              </w:rPr>
            </w:pPr>
            <w:r w:rsidRPr="002F73B6">
              <w:rPr>
                <w:rFonts w:ascii="Arial" w:hAnsi="Arial" w:cs="Arial"/>
                <w:color w:val="000000"/>
                <w:sz w:val="16"/>
                <w:szCs w:val="16"/>
              </w:rPr>
              <w:t>Medio</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02D4233" w14:textId="42FB59B9"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1.82</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3514737" w14:textId="0C4D35D0"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1.75</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025D4A8" w14:textId="3161EB19"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1.56</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65C1C67" w14:textId="4B30B587"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1.40</w:t>
            </w:r>
          </w:p>
        </w:tc>
      </w:tr>
      <w:tr w:rsidR="009021F6" w:rsidRPr="002F73B6" w14:paraId="748ACF5C" w14:textId="77777777" w:rsidTr="00265AE3">
        <w:trPr>
          <w:trHeight w:val="288"/>
          <w:jc w:val="center"/>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5BDD8361" w14:textId="77777777" w:rsidR="009021F6" w:rsidRPr="002F73B6" w:rsidRDefault="009021F6" w:rsidP="009021F6">
            <w:pPr>
              <w:jc w:val="center"/>
              <w:rPr>
                <w:rFonts w:ascii="Arial" w:hAnsi="Arial" w:cs="Arial"/>
                <w:color w:val="000000"/>
                <w:sz w:val="16"/>
                <w:szCs w:val="16"/>
              </w:rPr>
            </w:pPr>
            <w:r w:rsidRPr="002F73B6">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5C05F967" w14:textId="77777777" w:rsidR="009021F6" w:rsidRPr="002F73B6" w:rsidRDefault="009021F6" w:rsidP="009021F6">
            <w:pPr>
              <w:rPr>
                <w:rFonts w:ascii="Arial" w:hAnsi="Arial" w:cs="Arial"/>
                <w:color w:val="000000"/>
                <w:sz w:val="16"/>
                <w:szCs w:val="16"/>
              </w:rPr>
            </w:pPr>
            <w:r w:rsidRPr="002F73B6">
              <w:rPr>
                <w:rFonts w:ascii="Arial" w:hAnsi="Arial" w:cs="Arial"/>
                <w:color w:val="000000"/>
                <w:sz w:val="16"/>
                <w:szCs w:val="16"/>
              </w:rPr>
              <w:t>Optimista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C3DC419" w14:textId="6A5781C5"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2.18</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898F190" w14:textId="1E94508A"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2.10</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E77EC2B" w14:textId="1C164061"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1.87</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9ABF2B5" w14:textId="3E8CD206"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1.67</w:t>
            </w:r>
          </w:p>
        </w:tc>
      </w:tr>
      <w:tr w:rsidR="009021F6" w:rsidRPr="002F73B6" w14:paraId="3F085FA3"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0C41F2D0" w14:textId="77777777" w:rsidR="009021F6" w:rsidRPr="002F73B6" w:rsidRDefault="009021F6" w:rsidP="009021F6">
            <w:pPr>
              <w:jc w:val="center"/>
              <w:rPr>
                <w:rFonts w:ascii="Arial" w:hAnsi="Arial" w:cs="Arial"/>
                <w:color w:val="000000"/>
                <w:sz w:val="16"/>
                <w:szCs w:val="16"/>
              </w:rPr>
            </w:pPr>
            <w:r w:rsidRPr="002F73B6">
              <w:rPr>
                <w:rFonts w:ascii="Arial" w:hAnsi="Arial" w:cs="Arial"/>
                <w:color w:val="000000"/>
                <w:sz w:val="16"/>
                <w:szCs w:val="16"/>
              </w:rPr>
              <w:t>Rápido</w:t>
            </w:r>
          </w:p>
        </w:tc>
        <w:tc>
          <w:tcPr>
            <w:tcW w:w="1728" w:type="dxa"/>
            <w:tcBorders>
              <w:top w:val="nil"/>
              <w:left w:val="nil"/>
              <w:bottom w:val="single" w:sz="4" w:space="0" w:color="auto"/>
              <w:right w:val="single" w:sz="4" w:space="0" w:color="auto"/>
            </w:tcBorders>
            <w:shd w:val="clear" w:color="000000" w:fill="FFFFFF"/>
            <w:noWrap/>
            <w:vAlign w:val="center"/>
            <w:hideMark/>
          </w:tcPr>
          <w:p w14:paraId="590CC8BD" w14:textId="77777777" w:rsidR="009021F6" w:rsidRPr="002F73B6" w:rsidRDefault="009021F6" w:rsidP="009021F6">
            <w:pPr>
              <w:rPr>
                <w:rFonts w:ascii="Arial" w:hAnsi="Arial" w:cs="Arial"/>
                <w:color w:val="000000"/>
                <w:sz w:val="16"/>
                <w:szCs w:val="16"/>
              </w:rPr>
            </w:pPr>
            <w:r w:rsidRPr="002F73B6">
              <w:rPr>
                <w:rFonts w:ascii="Arial" w:hAnsi="Arial" w:cs="Arial"/>
                <w:color w:val="000000"/>
                <w:sz w:val="16"/>
                <w:szCs w:val="16"/>
              </w:rPr>
              <w:t>Pesimista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A7DD6D2" w14:textId="3D439B2D"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2.18</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8A7202A" w14:textId="01153BD2"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2.10</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E89B7FC" w14:textId="15FA0A0C"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1.87</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4641862" w14:textId="6ACEC481"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1.68</w:t>
            </w:r>
          </w:p>
        </w:tc>
      </w:tr>
      <w:tr w:rsidR="009021F6" w:rsidRPr="002F73B6" w14:paraId="03262326" w14:textId="77777777" w:rsidTr="00265AE3">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3F49C9C1" w14:textId="77777777" w:rsidR="009021F6" w:rsidRPr="002F73B6" w:rsidRDefault="009021F6" w:rsidP="009021F6">
            <w:pPr>
              <w:jc w:val="center"/>
              <w:rPr>
                <w:rFonts w:ascii="Arial" w:hAnsi="Arial" w:cs="Arial"/>
                <w:color w:val="000000"/>
                <w:sz w:val="16"/>
                <w:szCs w:val="16"/>
              </w:rPr>
            </w:pPr>
            <w:r w:rsidRPr="002F73B6">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0CCDCD47" w14:textId="77777777" w:rsidR="009021F6" w:rsidRPr="002F73B6" w:rsidRDefault="009021F6" w:rsidP="009021F6">
            <w:pPr>
              <w:rPr>
                <w:rFonts w:ascii="Arial" w:hAnsi="Arial" w:cs="Arial"/>
                <w:color w:val="000000"/>
                <w:sz w:val="16"/>
                <w:szCs w:val="16"/>
              </w:rPr>
            </w:pPr>
            <w:r w:rsidRPr="002F73B6">
              <w:rPr>
                <w:rFonts w:ascii="Arial" w:hAnsi="Arial" w:cs="Arial"/>
                <w:color w:val="000000"/>
                <w:sz w:val="16"/>
                <w:szCs w:val="16"/>
              </w:rPr>
              <w:t>Medio</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E48E04E" w14:textId="019371BC"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2.72</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CD1DD10" w14:textId="71AFC9B1"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2.62</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A1A88A6" w14:textId="58385098"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2.34</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6F94056" w14:textId="47DCE1BE"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2.10</w:t>
            </w:r>
          </w:p>
        </w:tc>
      </w:tr>
      <w:tr w:rsidR="009021F6" w:rsidRPr="002F73B6" w14:paraId="22A4D659" w14:textId="77777777" w:rsidTr="00265AE3">
        <w:trPr>
          <w:trHeight w:val="288"/>
          <w:jc w:val="center"/>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691F1E9A" w14:textId="77777777" w:rsidR="009021F6" w:rsidRPr="002F73B6" w:rsidRDefault="009021F6" w:rsidP="009021F6">
            <w:pPr>
              <w:jc w:val="center"/>
              <w:rPr>
                <w:rFonts w:ascii="Arial" w:hAnsi="Arial" w:cs="Arial"/>
                <w:color w:val="000000"/>
                <w:sz w:val="16"/>
                <w:szCs w:val="16"/>
              </w:rPr>
            </w:pPr>
            <w:r w:rsidRPr="002F73B6">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69E5E3D2" w14:textId="77777777" w:rsidR="009021F6" w:rsidRPr="002F73B6" w:rsidRDefault="009021F6" w:rsidP="009021F6">
            <w:pPr>
              <w:rPr>
                <w:rFonts w:ascii="Arial" w:hAnsi="Arial" w:cs="Arial"/>
                <w:color w:val="000000"/>
                <w:sz w:val="16"/>
                <w:szCs w:val="16"/>
              </w:rPr>
            </w:pPr>
            <w:r w:rsidRPr="002F73B6">
              <w:rPr>
                <w:rFonts w:ascii="Arial" w:hAnsi="Arial" w:cs="Arial"/>
                <w:color w:val="000000"/>
                <w:sz w:val="16"/>
                <w:szCs w:val="16"/>
              </w:rPr>
              <w:t>Optimista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361D305" w14:textId="78E0A336"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3.27</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AE93797" w14:textId="72219295"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3.15</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0066E59" w14:textId="0889D4D5"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2.81</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1C44C03" w14:textId="3E35FED7"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2.52</w:t>
            </w:r>
          </w:p>
        </w:tc>
      </w:tr>
    </w:tbl>
    <w:p w14:paraId="64089B90" w14:textId="77777777" w:rsidR="00295C7B" w:rsidRPr="00210A53" w:rsidRDefault="00295C7B" w:rsidP="00530750">
      <w:pPr>
        <w:keepNext/>
        <w:autoSpaceDE w:val="0"/>
        <w:autoSpaceDN w:val="0"/>
        <w:adjustRightInd w:val="0"/>
        <w:jc w:val="center"/>
        <w:rPr>
          <w:rFonts w:ascii="Arial" w:hAnsi="Arial" w:cs="Arial"/>
          <w:sz w:val="16"/>
          <w:szCs w:val="16"/>
        </w:rPr>
      </w:pPr>
    </w:p>
    <w:p w14:paraId="38F08673" w14:textId="597BBE56" w:rsidR="007339C1" w:rsidRPr="00210A53" w:rsidRDefault="007339C1" w:rsidP="00295C7B">
      <w:pPr>
        <w:keepNext/>
        <w:autoSpaceDE w:val="0"/>
        <w:autoSpaceDN w:val="0"/>
        <w:adjustRightInd w:val="0"/>
        <w:jc w:val="center"/>
        <w:rPr>
          <w:rFonts w:ascii="Arial" w:hAnsi="Arial" w:cs="Arial"/>
          <w:sz w:val="18"/>
          <w:szCs w:val="16"/>
        </w:rPr>
      </w:pPr>
      <w:r w:rsidRPr="00210A53">
        <w:rPr>
          <w:rFonts w:ascii="Arial" w:hAnsi="Arial" w:cs="Arial"/>
          <w:sz w:val="18"/>
          <w:szCs w:val="16"/>
        </w:rPr>
        <w:t>Nota: En verde se resaltan los valores positivos de la razón beneficio/costo.</w:t>
      </w:r>
    </w:p>
    <w:p w14:paraId="05562691" w14:textId="3FC3E783" w:rsidR="007339C1" w:rsidRDefault="007339C1" w:rsidP="00295C7B">
      <w:pPr>
        <w:jc w:val="center"/>
        <w:rPr>
          <w:rFonts w:ascii="Arial" w:hAnsi="Arial" w:cs="Arial"/>
          <w:sz w:val="18"/>
          <w:szCs w:val="16"/>
        </w:rPr>
      </w:pPr>
      <w:r w:rsidRPr="00210A53">
        <w:rPr>
          <w:rFonts w:ascii="Arial" w:hAnsi="Arial" w:cs="Arial"/>
          <w:sz w:val="18"/>
          <w:szCs w:val="16"/>
        </w:rPr>
        <w:t>Fuente: Elaboración de los autores</w:t>
      </w:r>
    </w:p>
    <w:p w14:paraId="59956C46" w14:textId="77777777" w:rsidR="00295C7B" w:rsidRPr="00210A53" w:rsidRDefault="00295C7B" w:rsidP="00295C7B">
      <w:pPr>
        <w:jc w:val="center"/>
        <w:rPr>
          <w:rFonts w:ascii="Arial" w:hAnsi="Arial" w:cs="Arial"/>
          <w:szCs w:val="22"/>
        </w:rPr>
      </w:pPr>
    </w:p>
    <w:p w14:paraId="37E728FD" w14:textId="5490E5FE" w:rsidR="00D67B12" w:rsidRPr="00020675" w:rsidRDefault="00AD15AA" w:rsidP="00530750">
      <w:pPr>
        <w:spacing w:before="120" w:after="120"/>
        <w:jc w:val="both"/>
        <w:rPr>
          <w:rFonts w:ascii="Arial" w:hAnsi="Arial" w:cs="Arial"/>
          <w:sz w:val="22"/>
          <w:szCs w:val="22"/>
        </w:rPr>
      </w:pPr>
      <w:r w:rsidRPr="00210A53">
        <w:rPr>
          <w:rFonts w:ascii="Arial" w:hAnsi="Arial" w:cs="Arial"/>
          <w:sz w:val="22"/>
          <w:szCs w:val="22"/>
        </w:rPr>
        <w:t>Se presentan también los resultados del análisis alternativo donde se considera un escena</w:t>
      </w:r>
      <w:r w:rsidR="007339C1" w:rsidRPr="00210A53">
        <w:rPr>
          <w:rFonts w:ascii="Arial" w:hAnsi="Arial" w:cs="Arial"/>
          <w:sz w:val="22"/>
          <w:szCs w:val="22"/>
        </w:rPr>
        <w:t xml:space="preserve">rio </w:t>
      </w:r>
      <w:r w:rsidR="009C7A6D" w:rsidRPr="00210A53">
        <w:rPr>
          <w:rFonts w:ascii="Arial" w:hAnsi="Arial" w:cs="Arial"/>
          <w:sz w:val="22"/>
          <w:szCs w:val="22"/>
        </w:rPr>
        <w:t>más amplio que comprende de 20</w:t>
      </w:r>
      <w:r w:rsidR="0057237A">
        <w:rPr>
          <w:rFonts w:ascii="Arial" w:hAnsi="Arial" w:cs="Arial"/>
          <w:sz w:val="22"/>
          <w:szCs w:val="22"/>
        </w:rPr>
        <w:t>22</w:t>
      </w:r>
      <w:r w:rsidRPr="00210A53">
        <w:rPr>
          <w:rFonts w:ascii="Arial" w:hAnsi="Arial" w:cs="Arial"/>
          <w:sz w:val="22"/>
          <w:szCs w:val="22"/>
        </w:rPr>
        <w:t xml:space="preserve"> a 20</w:t>
      </w:r>
      <w:r w:rsidR="0057237A">
        <w:rPr>
          <w:rFonts w:ascii="Arial" w:hAnsi="Arial" w:cs="Arial"/>
          <w:sz w:val="22"/>
          <w:szCs w:val="22"/>
        </w:rPr>
        <w:t>32</w:t>
      </w:r>
      <w:r w:rsidRPr="00210A53">
        <w:rPr>
          <w:rFonts w:ascii="Arial" w:hAnsi="Arial" w:cs="Arial"/>
          <w:sz w:val="22"/>
          <w:szCs w:val="22"/>
        </w:rPr>
        <w:t>. El anterior análisis permite reconocer que los beneficios de la intervención toman tiempo en observarse completamente. Sin embargo, una vez que se concluye el periodo de desembolso también se deben realizar inversiones adicionale</w:t>
      </w:r>
      <w:r w:rsidR="009C7A6D" w:rsidRPr="00210A53">
        <w:rPr>
          <w:rFonts w:ascii="Arial" w:hAnsi="Arial" w:cs="Arial"/>
          <w:sz w:val="22"/>
          <w:szCs w:val="22"/>
        </w:rPr>
        <w:t xml:space="preserve">s para </w:t>
      </w:r>
      <w:r w:rsidR="009C7A6D" w:rsidRPr="00020675">
        <w:rPr>
          <w:rFonts w:ascii="Arial" w:hAnsi="Arial" w:cs="Arial"/>
          <w:sz w:val="22"/>
          <w:szCs w:val="22"/>
        </w:rPr>
        <w:t>mantener los servicios del programa</w:t>
      </w:r>
      <w:r w:rsidR="007F34C5" w:rsidRPr="00020675">
        <w:rPr>
          <w:rFonts w:ascii="Arial" w:hAnsi="Arial" w:cs="Arial"/>
          <w:sz w:val="22"/>
          <w:szCs w:val="22"/>
        </w:rPr>
        <w:t xml:space="preserve"> (por ejemplo, </w:t>
      </w:r>
      <w:r w:rsidRPr="00020675">
        <w:rPr>
          <w:rFonts w:ascii="Arial" w:hAnsi="Arial" w:cs="Arial"/>
          <w:sz w:val="22"/>
          <w:szCs w:val="22"/>
        </w:rPr>
        <w:t>costos de mantenimiento hospitala</w:t>
      </w:r>
      <w:r w:rsidR="007F34C5" w:rsidRPr="00020675">
        <w:rPr>
          <w:rFonts w:ascii="Arial" w:hAnsi="Arial" w:cs="Arial"/>
          <w:sz w:val="22"/>
          <w:szCs w:val="22"/>
        </w:rPr>
        <w:t>rio, recursos humanos e insumos).</w:t>
      </w:r>
      <w:r w:rsidRPr="00020675">
        <w:rPr>
          <w:rFonts w:ascii="Arial" w:hAnsi="Arial" w:cs="Arial"/>
          <w:sz w:val="22"/>
          <w:szCs w:val="22"/>
        </w:rPr>
        <w:t xml:space="preserve"> En</w:t>
      </w:r>
      <w:r w:rsidR="009C7A6D" w:rsidRPr="00020675">
        <w:rPr>
          <w:rFonts w:ascii="Arial" w:hAnsi="Arial" w:cs="Arial"/>
          <w:sz w:val="22"/>
          <w:szCs w:val="22"/>
        </w:rPr>
        <w:t xml:space="preserve"> este análisis se estima que el </w:t>
      </w:r>
      <w:r w:rsidR="00341161" w:rsidRPr="00020675">
        <w:rPr>
          <w:rFonts w:ascii="Arial" w:hAnsi="Arial" w:cs="Arial"/>
          <w:sz w:val="22"/>
          <w:szCs w:val="22"/>
        </w:rPr>
        <w:t>ESE</w:t>
      </w:r>
      <w:r w:rsidR="009C7A6D" w:rsidRPr="00020675">
        <w:rPr>
          <w:rFonts w:ascii="Arial" w:hAnsi="Arial" w:cs="Arial"/>
          <w:sz w:val="22"/>
          <w:szCs w:val="22"/>
        </w:rPr>
        <w:t xml:space="preserve"> </w:t>
      </w:r>
      <w:r w:rsidRPr="00020675">
        <w:rPr>
          <w:rFonts w:ascii="Arial" w:hAnsi="Arial" w:cs="Arial"/>
          <w:sz w:val="22"/>
          <w:szCs w:val="22"/>
        </w:rPr>
        <w:t xml:space="preserve">debería asumir un costo de </w:t>
      </w:r>
      <w:r w:rsidR="009C7A6D" w:rsidRPr="00020675">
        <w:rPr>
          <w:rFonts w:ascii="Arial" w:hAnsi="Arial" w:cs="Arial"/>
          <w:sz w:val="22"/>
          <w:szCs w:val="22"/>
        </w:rPr>
        <w:t xml:space="preserve">alrededor de </w:t>
      </w:r>
      <w:r w:rsidR="003F4284" w:rsidRPr="00020675">
        <w:rPr>
          <w:rFonts w:ascii="Arial" w:hAnsi="Arial" w:cs="Arial"/>
          <w:sz w:val="22"/>
          <w:szCs w:val="22"/>
        </w:rPr>
        <w:t>US$</w:t>
      </w:r>
      <w:r w:rsidR="00341161" w:rsidRPr="00020675">
        <w:rPr>
          <w:rFonts w:ascii="Arial" w:hAnsi="Arial" w:cs="Arial"/>
          <w:sz w:val="22"/>
          <w:szCs w:val="22"/>
        </w:rPr>
        <w:t>3</w:t>
      </w:r>
      <w:r w:rsidR="00B60756" w:rsidRPr="00020675">
        <w:rPr>
          <w:rFonts w:ascii="Arial" w:hAnsi="Arial" w:cs="Arial"/>
          <w:sz w:val="22"/>
          <w:szCs w:val="22"/>
        </w:rPr>
        <w:t>.4</w:t>
      </w:r>
      <w:r w:rsidR="0017442A" w:rsidRPr="00020675">
        <w:rPr>
          <w:rFonts w:ascii="Arial" w:hAnsi="Arial" w:cs="Arial"/>
          <w:sz w:val="22"/>
          <w:szCs w:val="22"/>
        </w:rPr>
        <w:t xml:space="preserve"> </w:t>
      </w:r>
      <w:r w:rsidRPr="00020675">
        <w:rPr>
          <w:rFonts w:ascii="Arial" w:hAnsi="Arial" w:cs="Arial"/>
          <w:sz w:val="22"/>
          <w:szCs w:val="22"/>
        </w:rPr>
        <w:t>millones anuales a partir de 20</w:t>
      </w:r>
      <w:r w:rsidR="003C408A" w:rsidRPr="00020675">
        <w:rPr>
          <w:rFonts w:ascii="Arial" w:hAnsi="Arial" w:cs="Arial"/>
          <w:sz w:val="22"/>
          <w:szCs w:val="22"/>
        </w:rPr>
        <w:t>27</w:t>
      </w:r>
      <w:r w:rsidR="00002404" w:rsidRPr="00020675">
        <w:rPr>
          <w:rFonts w:ascii="Arial" w:hAnsi="Arial" w:cs="Arial"/>
          <w:sz w:val="22"/>
          <w:szCs w:val="22"/>
        </w:rPr>
        <w:t xml:space="preserve"> </w:t>
      </w:r>
      <w:r w:rsidRPr="00020675">
        <w:rPr>
          <w:rFonts w:ascii="Arial" w:hAnsi="Arial" w:cs="Arial"/>
          <w:sz w:val="22"/>
          <w:szCs w:val="22"/>
        </w:rPr>
        <w:t xml:space="preserve">para apalancar los beneficios. </w:t>
      </w:r>
      <w:r w:rsidR="00EE7DCC" w:rsidRPr="00020675">
        <w:rPr>
          <w:rFonts w:ascii="Arial" w:hAnsi="Arial" w:cs="Arial"/>
          <w:sz w:val="22"/>
          <w:szCs w:val="22"/>
        </w:rPr>
        <w:t>Los</w:t>
      </w:r>
      <w:r w:rsidR="00B31AD4" w:rsidRPr="00020675">
        <w:rPr>
          <w:rFonts w:ascii="Arial" w:hAnsi="Arial" w:cs="Arial"/>
          <w:sz w:val="22"/>
          <w:szCs w:val="22"/>
        </w:rPr>
        <w:t> </w:t>
      </w:r>
      <w:r w:rsidR="00EE7DCC" w:rsidRPr="00020675">
        <w:rPr>
          <w:rFonts w:ascii="Arial" w:hAnsi="Arial" w:cs="Arial"/>
          <w:sz w:val="22"/>
          <w:szCs w:val="22"/>
        </w:rPr>
        <w:t>result</w:t>
      </w:r>
      <w:r w:rsidR="000D3544" w:rsidRPr="00020675">
        <w:rPr>
          <w:rFonts w:ascii="Arial" w:hAnsi="Arial" w:cs="Arial"/>
          <w:sz w:val="22"/>
          <w:szCs w:val="22"/>
        </w:rPr>
        <w:t xml:space="preserve">ados de la </w:t>
      </w:r>
      <w:r w:rsidR="001E158C" w:rsidRPr="00020675">
        <w:rPr>
          <w:rFonts w:ascii="Arial" w:hAnsi="Arial" w:cs="Arial"/>
          <w:sz w:val="22"/>
          <w:szCs w:val="22"/>
        </w:rPr>
        <w:t>Tabla 10</w:t>
      </w:r>
      <w:r w:rsidR="007416D4" w:rsidRPr="00020675">
        <w:rPr>
          <w:rFonts w:ascii="Arial" w:hAnsi="Arial" w:cs="Arial"/>
          <w:sz w:val="22"/>
          <w:szCs w:val="22"/>
        </w:rPr>
        <w:t xml:space="preserve"> </w:t>
      </w:r>
      <w:r w:rsidRPr="00020675">
        <w:rPr>
          <w:rFonts w:ascii="Arial" w:hAnsi="Arial" w:cs="Arial"/>
          <w:sz w:val="22"/>
          <w:szCs w:val="22"/>
        </w:rPr>
        <w:t xml:space="preserve">muestran que los beneficios siempre exceden a los costos aún en el escenario más lento y el vector de gradualidad más lento. El escenario más probable es que se presenta un escenario de cobertura </w:t>
      </w:r>
      <w:r w:rsidR="00AA2E61" w:rsidRPr="00020675">
        <w:rPr>
          <w:rFonts w:ascii="Arial" w:hAnsi="Arial" w:cs="Arial"/>
          <w:sz w:val="22"/>
          <w:szCs w:val="22"/>
        </w:rPr>
        <w:t xml:space="preserve">medio </w:t>
      </w:r>
      <w:r w:rsidRPr="00020675">
        <w:rPr>
          <w:rFonts w:ascii="Arial" w:hAnsi="Arial" w:cs="Arial"/>
          <w:sz w:val="22"/>
          <w:szCs w:val="22"/>
        </w:rPr>
        <w:t xml:space="preserve">y un vector de gradualidad regular con lo que se obtendría una razón de </w:t>
      </w:r>
      <w:r w:rsidR="009021F6" w:rsidRPr="00020675">
        <w:rPr>
          <w:rFonts w:ascii="Arial" w:hAnsi="Arial" w:cs="Arial"/>
          <w:sz w:val="22"/>
          <w:szCs w:val="22"/>
        </w:rPr>
        <w:t>5.63</w:t>
      </w:r>
      <w:r w:rsidR="00273E67" w:rsidRPr="00020675">
        <w:rPr>
          <w:rFonts w:ascii="Arial" w:hAnsi="Arial" w:cs="Arial"/>
          <w:sz w:val="22"/>
          <w:szCs w:val="22"/>
        </w:rPr>
        <w:t>.</w:t>
      </w:r>
    </w:p>
    <w:p w14:paraId="481CABF1" w14:textId="77777777" w:rsidR="00CE7C7E" w:rsidRPr="00020675" w:rsidRDefault="00CE7C7E" w:rsidP="00CE7C7E">
      <w:pPr>
        <w:spacing w:before="120"/>
        <w:jc w:val="both"/>
        <w:rPr>
          <w:rFonts w:ascii="Arial" w:hAnsi="Arial" w:cs="Arial"/>
          <w:sz w:val="22"/>
          <w:szCs w:val="22"/>
        </w:rPr>
      </w:pPr>
    </w:p>
    <w:p w14:paraId="1306D21B" w14:textId="42ED119B" w:rsidR="00EE7DCC" w:rsidRPr="00210A53" w:rsidRDefault="00EE7DCC" w:rsidP="00CC7653">
      <w:pPr>
        <w:pStyle w:val="Caption"/>
      </w:pPr>
      <w:r w:rsidRPr="00020675">
        <w:t xml:space="preserve">Tabla </w:t>
      </w:r>
      <w:r w:rsidR="004A7A34" w:rsidRPr="00020675">
        <w:t>10</w:t>
      </w:r>
      <w:r w:rsidRPr="00020675">
        <w:t>. Análisis de sensibilidad de la razón beneficio/costo</w:t>
      </w:r>
      <w:r w:rsidR="00644731" w:rsidRPr="00020675">
        <w:t xml:space="preserve">, </w:t>
      </w:r>
      <w:r w:rsidR="00302C75" w:rsidRPr="00020675">
        <w:t xml:space="preserve">periodo </w:t>
      </w:r>
      <w:r w:rsidR="002E77F3" w:rsidRPr="00020675">
        <w:t>20</w:t>
      </w:r>
      <w:r w:rsidR="00002404" w:rsidRPr="00020675">
        <w:t>2</w:t>
      </w:r>
      <w:r w:rsidR="008E29F8" w:rsidRPr="00020675">
        <w:t>2</w:t>
      </w:r>
      <w:r w:rsidR="002E77F3" w:rsidRPr="00020675">
        <w:t>-20</w:t>
      </w:r>
      <w:r w:rsidR="00002404" w:rsidRPr="00020675">
        <w:t>3</w:t>
      </w:r>
      <w:r w:rsidR="008E29F8" w:rsidRPr="00020675">
        <w:t>2</w:t>
      </w:r>
    </w:p>
    <w:p w14:paraId="62F6AC1B" w14:textId="39F2D5E7" w:rsidR="00F15DD6" w:rsidRDefault="00F15DD6" w:rsidP="005E4A14">
      <w:pPr>
        <w:autoSpaceDE w:val="0"/>
        <w:autoSpaceDN w:val="0"/>
        <w:adjustRightInd w:val="0"/>
        <w:jc w:val="center"/>
        <w:rPr>
          <w:rFonts w:ascii="Arial" w:hAnsi="Arial" w:cs="Arial"/>
          <w:noProof/>
          <w:sz w:val="16"/>
          <w:szCs w:val="16"/>
          <w:lang w:eastAsia="it-IT"/>
        </w:rPr>
      </w:pPr>
    </w:p>
    <w:tbl>
      <w:tblPr>
        <w:tblW w:w="6835" w:type="dxa"/>
        <w:jc w:val="center"/>
        <w:tblLook w:val="04A0" w:firstRow="1" w:lastRow="0" w:firstColumn="1" w:lastColumn="0" w:noHBand="0" w:noVBand="1"/>
      </w:tblPr>
      <w:tblGrid>
        <w:gridCol w:w="1339"/>
        <w:gridCol w:w="1728"/>
        <w:gridCol w:w="978"/>
        <w:gridCol w:w="990"/>
        <w:gridCol w:w="900"/>
        <w:gridCol w:w="900"/>
      </w:tblGrid>
      <w:tr w:rsidR="00D67B12" w:rsidRPr="000B066B" w14:paraId="62050B1C" w14:textId="77777777" w:rsidTr="00265AE3">
        <w:trPr>
          <w:trHeight w:val="864"/>
          <w:jc w:val="center"/>
        </w:trPr>
        <w:tc>
          <w:tcPr>
            <w:tcW w:w="133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E893D35" w14:textId="77777777" w:rsidR="00D67B12" w:rsidRPr="000B066B" w:rsidRDefault="00D67B12" w:rsidP="00D67B12">
            <w:pPr>
              <w:jc w:val="center"/>
              <w:rPr>
                <w:rFonts w:ascii="Arial" w:hAnsi="Arial" w:cs="Arial"/>
                <w:b/>
                <w:bCs/>
                <w:color w:val="000000"/>
                <w:sz w:val="16"/>
                <w:szCs w:val="16"/>
              </w:rPr>
            </w:pPr>
            <w:r w:rsidRPr="000B066B">
              <w:rPr>
                <w:rFonts w:ascii="Arial" w:hAnsi="Arial" w:cs="Arial"/>
                <w:b/>
                <w:bCs/>
                <w:color w:val="000000"/>
                <w:sz w:val="16"/>
                <w:szCs w:val="16"/>
              </w:rPr>
              <w:t>Vectores de gradualidad</w:t>
            </w:r>
          </w:p>
        </w:tc>
        <w:tc>
          <w:tcPr>
            <w:tcW w:w="17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1FDFB5D" w14:textId="77777777" w:rsidR="00D67B12" w:rsidRPr="000B066B" w:rsidRDefault="00D67B12" w:rsidP="00D67B12">
            <w:pPr>
              <w:jc w:val="center"/>
              <w:rPr>
                <w:rFonts w:ascii="Arial" w:hAnsi="Arial" w:cs="Arial"/>
                <w:b/>
                <w:bCs/>
                <w:color w:val="000000"/>
                <w:sz w:val="16"/>
                <w:szCs w:val="16"/>
              </w:rPr>
            </w:pPr>
            <w:r w:rsidRPr="000B066B">
              <w:rPr>
                <w:rFonts w:ascii="Arial" w:hAnsi="Arial" w:cs="Arial"/>
                <w:b/>
                <w:bCs/>
                <w:color w:val="000000"/>
                <w:sz w:val="16"/>
                <w:szCs w:val="16"/>
              </w:rPr>
              <w:t>Escenarios de cobertura efectiva</w:t>
            </w:r>
          </w:p>
        </w:tc>
        <w:tc>
          <w:tcPr>
            <w:tcW w:w="376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27A0E1D9" w14:textId="77777777" w:rsidR="00D67B12" w:rsidRPr="000B066B" w:rsidRDefault="00D67B12" w:rsidP="00D67B12">
            <w:pPr>
              <w:jc w:val="center"/>
              <w:rPr>
                <w:rFonts w:ascii="Arial" w:hAnsi="Arial" w:cs="Arial"/>
                <w:b/>
                <w:bCs/>
                <w:color w:val="000000"/>
                <w:sz w:val="16"/>
                <w:szCs w:val="16"/>
              </w:rPr>
            </w:pPr>
            <w:r w:rsidRPr="000B066B">
              <w:rPr>
                <w:rFonts w:ascii="Arial" w:hAnsi="Arial" w:cs="Arial"/>
                <w:b/>
                <w:bCs/>
                <w:color w:val="000000"/>
                <w:sz w:val="16"/>
                <w:szCs w:val="16"/>
              </w:rPr>
              <w:t>Tasa de descuento</w:t>
            </w:r>
          </w:p>
        </w:tc>
      </w:tr>
      <w:tr w:rsidR="00265AE3" w:rsidRPr="000B066B" w14:paraId="0D5D3E83" w14:textId="77777777" w:rsidTr="00265AE3">
        <w:trPr>
          <w:trHeight w:val="288"/>
          <w:jc w:val="center"/>
        </w:trPr>
        <w:tc>
          <w:tcPr>
            <w:tcW w:w="1339" w:type="dxa"/>
            <w:vMerge/>
            <w:tcBorders>
              <w:top w:val="single" w:sz="4" w:space="0" w:color="auto"/>
              <w:left w:val="single" w:sz="4" w:space="0" w:color="auto"/>
              <w:bottom w:val="single" w:sz="4" w:space="0" w:color="000000"/>
              <w:right w:val="single" w:sz="4" w:space="0" w:color="auto"/>
            </w:tcBorders>
            <w:vAlign w:val="center"/>
            <w:hideMark/>
          </w:tcPr>
          <w:p w14:paraId="768823BC" w14:textId="77777777" w:rsidR="00D67B12" w:rsidRPr="000B066B" w:rsidRDefault="00D67B12" w:rsidP="00D67B12">
            <w:pPr>
              <w:rPr>
                <w:rFonts w:ascii="Arial" w:hAnsi="Arial" w:cs="Arial"/>
                <w:b/>
                <w:bCs/>
                <w:color w:val="000000"/>
                <w:sz w:val="16"/>
                <w:szCs w:val="16"/>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5FCFD915" w14:textId="77777777" w:rsidR="00D67B12" w:rsidRPr="000B066B" w:rsidRDefault="00D67B12" w:rsidP="00D67B12">
            <w:pPr>
              <w:rPr>
                <w:rFonts w:ascii="Arial" w:hAnsi="Arial" w:cs="Arial"/>
                <w:b/>
                <w:bCs/>
                <w:color w:val="000000"/>
                <w:sz w:val="16"/>
                <w:szCs w:val="16"/>
              </w:rPr>
            </w:pPr>
          </w:p>
        </w:tc>
        <w:tc>
          <w:tcPr>
            <w:tcW w:w="978" w:type="dxa"/>
            <w:tcBorders>
              <w:top w:val="nil"/>
              <w:left w:val="nil"/>
              <w:bottom w:val="single" w:sz="4" w:space="0" w:color="auto"/>
              <w:right w:val="single" w:sz="4" w:space="0" w:color="auto"/>
            </w:tcBorders>
            <w:shd w:val="clear" w:color="000000" w:fill="EDEDED"/>
            <w:noWrap/>
            <w:vAlign w:val="center"/>
            <w:hideMark/>
          </w:tcPr>
          <w:p w14:paraId="43C7E926" w14:textId="77777777" w:rsidR="00D67B12" w:rsidRPr="000B066B" w:rsidRDefault="00D67B12" w:rsidP="00D67B12">
            <w:pPr>
              <w:jc w:val="center"/>
              <w:rPr>
                <w:rFonts w:ascii="Arial" w:hAnsi="Arial" w:cs="Arial"/>
                <w:color w:val="000000"/>
                <w:sz w:val="16"/>
                <w:szCs w:val="16"/>
              </w:rPr>
            </w:pPr>
            <w:r w:rsidRPr="000B066B">
              <w:rPr>
                <w:rFonts w:ascii="Arial" w:hAnsi="Arial" w:cs="Arial"/>
                <w:color w:val="000000"/>
                <w:sz w:val="16"/>
                <w:szCs w:val="16"/>
              </w:rPr>
              <w:t>2%</w:t>
            </w:r>
          </w:p>
        </w:tc>
        <w:tc>
          <w:tcPr>
            <w:tcW w:w="990" w:type="dxa"/>
            <w:tcBorders>
              <w:top w:val="nil"/>
              <w:left w:val="nil"/>
              <w:bottom w:val="single" w:sz="4" w:space="0" w:color="auto"/>
              <w:right w:val="single" w:sz="4" w:space="0" w:color="auto"/>
            </w:tcBorders>
            <w:shd w:val="clear" w:color="000000" w:fill="EDEDED"/>
            <w:noWrap/>
            <w:vAlign w:val="center"/>
            <w:hideMark/>
          </w:tcPr>
          <w:p w14:paraId="67482D92" w14:textId="77777777" w:rsidR="00D67B12" w:rsidRPr="000B066B" w:rsidRDefault="00D67B12" w:rsidP="00D67B12">
            <w:pPr>
              <w:jc w:val="center"/>
              <w:rPr>
                <w:rFonts w:ascii="Arial" w:hAnsi="Arial" w:cs="Arial"/>
                <w:color w:val="000000"/>
                <w:sz w:val="16"/>
                <w:szCs w:val="16"/>
              </w:rPr>
            </w:pPr>
            <w:r w:rsidRPr="000B066B">
              <w:rPr>
                <w:rFonts w:ascii="Arial" w:hAnsi="Arial" w:cs="Arial"/>
                <w:color w:val="000000"/>
                <w:sz w:val="16"/>
                <w:szCs w:val="16"/>
              </w:rPr>
              <w:t>3%</w:t>
            </w:r>
          </w:p>
        </w:tc>
        <w:tc>
          <w:tcPr>
            <w:tcW w:w="900" w:type="dxa"/>
            <w:tcBorders>
              <w:top w:val="nil"/>
              <w:left w:val="nil"/>
              <w:bottom w:val="single" w:sz="4" w:space="0" w:color="auto"/>
              <w:right w:val="single" w:sz="4" w:space="0" w:color="auto"/>
            </w:tcBorders>
            <w:shd w:val="clear" w:color="000000" w:fill="EDEDED"/>
            <w:noWrap/>
            <w:vAlign w:val="center"/>
            <w:hideMark/>
          </w:tcPr>
          <w:p w14:paraId="570920EA" w14:textId="77777777" w:rsidR="00D67B12" w:rsidRPr="000B066B" w:rsidRDefault="00D67B12" w:rsidP="00D67B12">
            <w:pPr>
              <w:jc w:val="center"/>
              <w:rPr>
                <w:rFonts w:ascii="Arial" w:hAnsi="Arial" w:cs="Arial"/>
                <w:color w:val="000000"/>
                <w:sz w:val="16"/>
                <w:szCs w:val="16"/>
              </w:rPr>
            </w:pPr>
            <w:r w:rsidRPr="000B066B">
              <w:rPr>
                <w:rFonts w:ascii="Arial" w:hAnsi="Arial" w:cs="Arial"/>
                <w:color w:val="000000"/>
                <w:sz w:val="16"/>
                <w:szCs w:val="16"/>
              </w:rPr>
              <w:t>6%</w:t>
            </w:r>
          </w:p>
        </w:tc>
        <w:tc>
          <w:tcPr>
            <w:tcW w:w="900" w:type="dxa"/>
            <w:tcBorders>
              <w:top w:val="nil"/>
              <w:left w:val="nil"/>
              <w:bottom w:val="single" w:sz="4" w:space="0" w:color="auto"/>
              <w:right w:val="single" w:sz="4" w:space="0" w:color="auto"/>
            </w:tcBorders>
            <w:shd w:val="clear" w:color="000000" w:fill="EDEDED"/>
            <w:noWrap/>
            <w:vAlign w:val="center"/>
            <w:hideMark/>
          </w:tcPr>
          <w:p w14:paraId="144099E9" w14:textId="77777777" w:rsidR="00D67B12" w:rsidRPr="000B066B" w:rsidRDefault="00D67B12" w:rsidP="00D67B12">
            <w:pPr>
              <w:jc w:val="center"/>
              <w:rPr>
                <w:rFonts w:ascii="Arial" w:hAnsi="Arial" w:cs="Arial"/>
                <w:color w:val="000000"/>
                <w:sz w:val="16"/>
                <w:szCs w:val="16"/>
              </w:rPr>
            </w:pPr>
            <w:r w:rsidRPr="000B066B">
              <w:rPr>
                <w:rFonts w:ascii="Arial" w:hAnsi="Arial" w:cs="Arial"/>
                <w:color w:val="000000"/>
                <w:sz w:val="16"/>
                <w:szCs w:val="16"/>
              </w:rPr>
              <w:t>9%</w:t>
            </w:r>
          </w:p>
        </w:tc>
      </w:tr>
      <w:tr w:rsidR="009021F6" w:rsidRPr="000B066B" w14:paraId="3B710627" w14:textId="77777777" w:rsidTr="00C014EC">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4D33EA47" w14:textId="77777777" w:rsidR="009021F6" w:rsidRPr="000B066B" w:rsidRDefault="009021F6" w:rsidP="009021F6">
            <w:pPr>
              <w:jc w:val="center"/>
              <w:rPr>
                <w:rFonts w:ascii="Arial" w:hAnsi="Arial" w:cs="Arial"/>
                <w:color w:val="000000"/>
                <w:sz w:val="16"/>
                <w:szCs w:val="16"/>
              </w:rPr>
            </w:pPr>
            <w:r w:rsidRPr="000B066B">
              <w:rPr>
                <w:rFonts w:ascii="Arial" w:hAnsi="Arial" w:cs="Arial"/>
                <w:color w:val="000000"/>
                <w:sz w:val="16"/>
                <w:szCs w:val="16"/>
              </w:rPr>
              <w:t>Lento</w:t>
            </w:r>
          </w:p>
        </w:tc>
        <w:tc>
          <w:tcPr>
            <w:tcW w:w="1728" w:type="dxa"/>
            <w:tcBorders>
              <w:top w:val="nil"/>
              <w:left w:val="nil"/>
              <w:bottom w:val="single" w:sz="4" w:space="0" w:color="auto"/>
              <w:right w:val="single" w:sz="4" w:space="0" w:color="auto"/>
            </w:tcBorders>
            <w:shd w:val="clear" w:color="000000" w:fill="FFFFFF"/>
            <w:noWrap/>
            <w:vAlign w:val="center"/>
            <w:hideMark/>
          </w:tcPr>
          <w:p w14:paraId="5BAF7298" w14:textId="77777777" w:rsidR="009021F6" w:rsidRPr="000B066B" w:rsidRDefault="009021F6" w:rsidP="009021F6">
            <w:pPr>
              <w:rPr>
                <w:rFonts w:ascii="Arial" w:hAnsi="Arial" w:cs="Arial"/>
                <w:color w:val="000000"/>
                <w:sz w:val="16"/>
                <w:szCs w:val="16"/>
              </w:rPr>
            </w:pPr>
            <w:r w:rsidRPr="000B066B">
              <w:rPr>
                <w:rFonts w:ascii="Arial" w:hAnsi="Arial" w:cs="Arial"/>
                <w:color w:val="000000"/>
                <w:sz w:val="16"/>
                <w:szCs w:val="16"/>
              </w:rPr>
              <w:t>Pesimista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4CC1206" w14:textId="52724C7F"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4.4</w:t>
            </w:r>
            <w:r w:rsidR="00B57786">
              <w:rPr>
                <w:rFonts w:ascii="Arial" w:hAnsi="Arial" w:cs="Arial"/>
                <w:color w:val="000000"/>
                <w:sz w:val="16"/>
                <w:szCs w:val="16"/>
              </w:rPr>
              <w:t>6</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3DC6418" w14:textId="37AFB8D6"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4.16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8F8C68F" w14:textId="61DDF486"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3.41</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AE62DA0" w14:textId="1A80423B"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2.82</w:t>
            </w:r>
          </w:p>
        </w:tc>
      </w:tr>
      <w:tr w:rsidR="009021F6" w:rsidRPr="000B066B" w14:paraId="568207DE" w14:textId="77777777" w:rsidTr="00265AE3">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7A05D464" w14:textId="77777777" w:rsidR="009021F6" w:rsidRPr="000B066B" w:rsidRDefault="009021F6" w:rsidP="009021F6">
            <w:pPr>
              <w:jc w:val="center"/>
              <w:rPr>
                <w:rFonts w:ascii="Arial" w:hAnsi="Arial" w:cs="Arial"/>
                <w:color w:val="000000"/>
                <w:sz w:val="16"/>
                <w:szCs w:val="16"/>
              </w:rPr>
            </w:pPr>
            <w:r w:rsidRPr="000B066B">
              <w:rPr>
                <w:rFonts w:ascii="Arial" w:hAnsi="Arial" w:cs="Arial"/>
                <w:color w:val="000000"/>
                <w:sz w:val="16"/>
                <w:szCs w:val="16"/>
              </w:rPr>
              <w:lastRenderedPageBreak/>
              <w:t> </w:t>
            </w:r>
          </w:p>
        </w:tc>
        <w:tc>
          <w:tcPr>
            <w:tcW w:w="1728" w:type="dxa"/>
            <w:tcBorders>
              <w:top w:val="nil"/>
              <w:left w:val="nil"/>
              <w:bottom w:val="single" w:sz="4" w:space="0" w:color="auto"/>
              <w:right w:val="single" w:sz="4" w:space="0" w:color="auto"/>
            </w:tcBorders>
            <w:shd w:val="clear" w:color="000000" w:fill="FFFFFF"/>
            <w:noWrap/>
            <w:vAlign w:val="center"/>
            <w:hideMark/>
          </w:tcPr>
          <w:p w14:paraId="4CB1F272" w14:textId="77777777" w:rsidR="009021F6" w:rsidRPr="000B066B" w:rsidRDefault="009021F6" w:rsidP="009021F6">
            <w:pPr>
              <w:rPr>
                <w:rFonts w:ascii="Arial" w:hAnsi="Arial" w:cs="Arial"/>
                <w:color w:val="000000"/>
                <w:sz w:val="16"/>
                <w:szCs w:val="16"/>
              </w:rPr>
            </w:pPr>
            <w:r w:rsidRPr="000B066B">
              <w:rPr>
                <w:rFonts w:ascii="Arial" w:hAnsi="Arial" w:cs="Arial"/>
                <w:color w:val="000000"/>
                <w:sz w:val="16"/>
                <w:szCs w:val="16"/>
              </w:rPr>
              <w:t>Medio</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1AECB77" w14:textId="650BCC5D"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5.57</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9C07C16" w14:textId="2E4CF485"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5.20</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8650207" w14:textId="0AE1C4B5"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4.26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60B9C90" w14:textId="38C419B7"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3.5</w:t>
            </w:r>
            <w:r w:rsidR="001B3373">
              <w:rPr>
                <w:rFonts w:ascii="Arial" w:hAnsi="Arial" w:cs="Arial"/>
                <w:color w:val="000000"/>
                <w:sz w:val="16"/>
                <w:szCs w:val="16"/>
              </w:rPr>
              <w:t>3</w:t>
            </w:r>
          </w:p>
        </w:tc>
      </w:tr>
      <w:tr w:rsidR="009021F6" w:rsidRPr="000B066B" w14:paraId="603D8A5E" w14:textId="77777777" w:rsidTr="00265AE3">
        <w:trPr>
          <w:trHeight w:val="288"/>
          <w:jc w:val="center"/>
        </w:trPr>
        <w:tc>
          <w:tcPr>
            <w:tcW w:w="1339" w:type="dxa"/>
            <w:tcBorders>
              <w:top w:val="nil"/>
              <w:left w:val="single" w:sz="4" w:space="0" w:color="auto"/>
              <w:bottom w:val="single" w:sz="4" w:space="0" w:color="auto"/>
              <w:right w:val="single" w:sz="4" w:space="0" w:color="auto"/>
            </w:tcBorders>
            <w:shd w:val="clear" w:color="000000" w:fill="FFFFFF"/>
            <w:noWrap/>
            <w:vAlign w:val="center"/>
            <w:hideMark/>
          </w:tcPr>
          <w:p w14:paraId="5574BB65" w14:textId="77777777" w:rsidR="009021F6" w:rsidRPr="000B066B" w:rsidRDefault="009021F6" w:rsidP="009021F6">
            <w:pPr>
              <w:jc w:val="center"/>
              <w:rPr>
                <w:rFonts w:ascii="Arial" w:hAnsi="Arial" w:cs="Arial"/>
                <w:color w:val="000000"/>
                <w:sz w:val="16"/>
                <w:szCs w:val="16"/>
              </w:rPr>
            </w:pPr>
            <w:r w:rsidRPr="000B066B">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7A45F32B" w14:textId="77777777" w:rsidR="009021F6" w:rsidRPr="000B066B" w:rsidRDefault="009021F6" w:rsidP="009021F6">
            <w:pPr>
              <w:rPr>
                <w:rFonts w:ascii="Arial" w:hAnsi="Arial" w:cs="Arial"/>
                <w:color w:val="000000"/>
                <w:sz w:val="16"/>
                <w:szCs w:val="16"/>
              </w:rPr>
            </w:pPr>
            <w:r w:rsidRPr="000B066B">
              <w:rPr>
                <w:rFonts w:ascii="Arial" w:hAnsi="Arial" w:cs="Arial"/>
                <w:color w:val="000000"/>
                <w:sz w:val="16"/>
                <w:szCs w:val="16"/>
              </w:rPr>
              <w:t>Optimista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88EC4E2" w14:textId="77D19E9B"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6.68</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8241381" w14:textId="0F37924E"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6.24</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B0D09F1" w14:textId="7AEEA1AB"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5.12</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E43205E" w14:textId="0493B0E8"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4.23</w:t>
            </w:r>
          </w:p>
        </w:tc>
      </w:tr>
      <w:tr w:rsidR="009021F6" w:rsidRPr="000B066B" w14:paraId="445466ED" w14:textId="77777777" w:rsidTr="00C014EC">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33F21848" w14:textId="77777777" w:rsidR="009021F6" w:rsidRPr="000B066B" w:rsidRDefault="009021F6" w:rsidP="009021F6">
            <w:pPr>
              <w:jc w:val="center"/>
              <w:rPr>
                <w:rFonts w:ascii="Arial" w:hAnsi="Arial" w:cs="Arial"/>
                <w:color w:val="000000"/>
                <w:sz w:val="16"/>
                <w:szCs w:val="16"/>
              </w:rPr>
            </w:pPr>
            <w:r w:rsidRPr="000B066B">
              <w:rPr>
                <w:rFonts w:ascii="Arial" w:hAnsi="Arial" w:cs="Arial"/>
                <w:color w:val="000000"/>
                <w:sz w:val="16"/>
                <w:szCs w:val="16"/>
              </w:rPr>
              <w:t>Regular</w:t>
            </w:r>
          </w:p>
        </w:tc>
        <w:tc>
          <w:tcPr>
            <w:tcW w:w="1728" w:type="dxa"/>
            <w:tcBorders>
              <w:top w:val="nil"/>
              <w:left w:val="nil"/>
              <w:bottom w:val="single" w:sz="4" w:space="0" w:color="auto"/>
              <w:right w:val="single" w:sz="4" w:space="0" w:color="auto"/>
            </w:tcBorders>
            <w:shd w:val="clear" w:color="000000" w:fill="FFFFFF"/>
            <w:noWrap/>
            <w:vAlign w:val="center"/>
            <w:hideMark/>
          </w:tcPr>
          <w:p w14:paraId="699A5DB7" w14:textId="77777777" w:rsidR="009021F6" w:rsidRPr="000B066B" w:rsidRDefault="009021F6" w:rsidP="009021F6">
            <w:pPr>
              <w:rPr>
                <w:rFonts w:ascii="Arial" w:hAnsi="Arial" w:cs="Arial"/>
                <w:color w:val="000000"/>
                <w:sz w:val="16"/>
                <w:szCs w:val="16"/>
              </w:rPr>
            </w:pPr>
            <w:r w:rsidRPr="000B066B">
              <w:rPr>
                <w:rFonts w:ascii="Arial" w:hAnsi="Arial" w:cs="Arial"/>
                <w:color w:val="000000"/>
                <w:sz w:val="16"/>
                <w:szCs w:val="16"/>
              </w:rPr>
              <w:t>Pesimista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20A3455" w14:textId="782DECB0"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4.81</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C868E93" w14:textId="279CC63E"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4.50</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118743F" w14:textId="4D1F72D4"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3.71</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2305C5E" w14:textId="6D5563DB"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3.08</w:t>
            </w:r>
          </w:p>
        </w:tc>
      </w:tr>
      <w:tr w:rsidR="009021F6" w:rsidRPr="000B066B" w14:paraId="4AC42B16" w14:textId="77777777" w:rsidTr="00265AE3">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74FD77C6" w14:textId="77777777" w:rsidR="009021F6" w:rsidRPr="000B066B" w:rsidRDefault="009021F6" w:rsidP="009021F6">
            <w:pPr>
              <w:jc w:val="center"/>
              <w:rPr>
                <w:rFonts w:ascii="Arial" w:hAnsi="Arial" w:cs="Arial"/>
                <w:color w:val="000000"/>
                <w:sz w:val="16"/>
                <w:szCs w:val="16"/>
              </w:rPr>
            </w:pPr>
            <w:r w:rsidRPr="000B066B">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3AE8D36D" w14:textId="77777777" w:rsidR="009021F6" w:rsidRPr="000B066B" w:rsidRDefault="009021F6" w:rsidP="009021F6">
            <w:pPr>
              <w:rPr>
                <w:rFonts w:ascii="Arial" w:hAnsi="Arial" w:cs="Arial"/>
                <w:color w:val="000000"/>
                <w:sz w:val="16"/>
                <w:szCs w:val="16"/>
              </w:rPr>
            </w:pPr>
            <w:r w:rsidRPr="000B066B">
              <w:rPr>
                <w:rFonts w:ascii="Arial" w:hAnsi="Arial" w:cs="Arial"/>
                <w:color w:val="000000"/>
                <w:sz w:val="16"/>
                <w:szCs w:val="16"/>
              </w:rPr>
              <w:t>Medio</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103D70A" w14:textId="06305B97"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6.02</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B5D5753" w14:textId="28349512"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5.63</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6EBE9F0" w14:textId="4C20FBEE"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4.64</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37A6D69" w14:textId="117EF9ED"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3.85</w:t>
            </w:r>
          </w:p>
        </w:tc>
      </w:tr>
      <w:tr w:rsidR="009021F6" w:rsidRPr="000B066B" w14:paraId="0F9F15F8" w14:textId="77777777" w:rsidTr="00265AE3">
        <w:trPr>
          <w:trHeight w:val="288"/>
          <w:jc w:val="center"/>
        </w:trPr>
        <w:tc>
          <w:tcPr>
            <w:tcW w:w="1339" w:type="dxa"/>
            <w:tcBorders>
              <w:top w:val="nil"/>
              <w:left w:val="single" w:sz="4" w:space="0" w:color="auto"/>
              <w:bottom w:val="single" w:sz="4" w:space="0" w:color="auto"/>
              <w:right w:val="single" w:sz="4" w:space="0" w:color="auto"/>
            </w:tcBorders>
            <w:shd w:val="clear" w:color="000000" w:fill="FFFFFF"/>
            <w:noWrap/>
            <w:vAlign w:val="center"/>
            <w:hideMark/>
          </w:tcPr>
          <w:p w14:paraId="62B5D1F1" w14:textId="77777777" w:rsidR="009021F6" w:rsidRPr="000B066B" w:rsidRDefault="009021F6" w:rsidP="009021F6">
            <w:pPr>
              <w:jc w:val="center"/>
              <w:rPr>
                <w:rFonts w:ascii="Arial" w:hAnsi="Arial" w:cs="Arial"/>
                <w:color w:val="000000"/>
                <w:sz w:val="16"/>
                <w:szCs w:val="16"/>
              </w:rPr>
            </w:pPr>
            <w:r w:rsidRPr="000B066B">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7443FA6A" w14:textId="77777777" w:rsidR="009021F6" w:rsidRPr="000B066B" w:rsidRDefault="009021F6" w:rsidP="009021F6">
            <w:pPr>
              <w:rPr>
                <w:rFonts w:ascii="Arial" w:hAnsi="Arial" w:cs="Arial"/>
                <w:color w:val="000000"/>
                <w:sz w:val="16"/>
                <w:szCs w:val="16"/>
              </w:rPr>
            </w:pPr>
            <w:r w:rsidRPr="000B066B">
              <w:rPr>
                <w:rFonts w:ascii="Arial" w:hAnsi="Arial" w:cs="Arial"/>
                <w:color w:val="000000"/>
                <w:sz w:val="16"/>
                <w:szCs w:val="16"/>
              </w:rPr>
              <w:t>Optimista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EEABBFA" w14:textId="67347F9B"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7.22</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E3A4F3F" w14:textId="5E067421"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6.76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DFEED3D" w14:textId="39BF0F90"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5.56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7E036B2" w14:textId="2AA7D3B4"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4.62</w:t>
            </w:r>
          </w:p>
        </w:tc>
      </w:tr>
      <w:tr w:rsidR="009021F6" w:rsidRPr="000B066B" w14:paraId="45E0EFE8" w14:textId="77777777" w:rsidTr="00265AE3">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651A939F" w14:textId="77777777" w:rsidR="009021F6" w:rsidRPr="000B066B" w:rsidRDefault="009021F6" w:rsidP="009021F6">
            <w:pPr>
              <w:jc w:val="center"/>
              <w:rPr>
                <w:rFonts w:ascii="Arial" w:hAnsi="Arial" w:cs="Arial"/>
                <w:color w:val="000000"/>
                <w:sz w:val="16"/>
                <w:szCs w:val="16"/>
              </w:rPr>
            </w:pPr>
            <w:r w:rsidRPr="000B066B">
              <w:rPr>
                <w:rFonts w:ascii="Arial" w:hAnsi="Arial" w:cs="Arial"/>
                <w:color w:val="000000"/>
                <w:sz w:val="16"/>
                <w:szCs w:val="16"/>
              </w:rPr>
              <w:t>Rápido</w:t>
            </w:r>
          </w:p>
        </w:tc>
        <w:tc>
          <w:tcPr>
            <w:tcW w:w="1728" w:type="dxa"/>
            <w:tcBorders>
              <w:top w:val="nil"/>
              <w:left w:val="nil"/>
              <w:bottom w:val="single" w:sz="4" w:space="0" w:color="auto"/>
              <w:right w:val="single" w:sz="4" w:space="0" w:color="auto"/>
            </w:tcBorders>
            <w:shd w:val="clear" w:color="000000" w:fill="FFFFFF"/>
            <w:noWrap/>
            <w:vAlign w:val="center"/>
            <w:hideMark/>
          </w:tcPr>
          <w:p w14:paraId="479E345F" w14:textId="77777777" w:rsidR="009021F6" w:rsidRPr="000B066B" w:rsidRDefault="009021F6" w:rsidP="009021F6">
            <w:pPr>
              <w:rPr>
                <w:rFonts w:ascii="Arial" w:hAnsi="Arial" w:cs="Arial"/>
                <w:color w:val="000000"/>
                <w:sz w:val="16"/>
                <w:szCs w:val="16"/>
              </w:rPr>
            </w:pPr>
            <w:r w:rsidRPr="000B066B">
              <w:rPr>
                <w:rFonts w:ascii="Arial" w:hAnsi="Arial" w:cs="Arial"/>
                <w:color w:val="000000"/>
                <w:sz w:val="16"/>
                <w:szCs w:val="16"/>
              </w:rPr>
              <w:t>Pesimista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B4BF2C9" w14:textId="2E35371D"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5.84</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BADCD6E" w14:textId="173258AC"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5.48</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5AEC894" w14:textId="38EE2D0A"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4.56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D51CAE0" w14:textId="2B0E0864"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3.82</w:t>
            </w:r>
          </w:p>
        </w:tc>
      </w:tr>
      <w:tr w:rsidR="009021F6" w:rsidRPr="000B066B" w14:paraId="16B83BA0" w14:textId="77777777" w:rsidTr="00265AE3">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61606CEC" w14:textId="77777777" w:rsidR="009021F6" w:rsidRPr="000B066B" w:rsidRDefault="009021F6" w:rsidP="009021F6">
            <w:pPr>
              <w:jc w:val="center"/>
              <w:rPr>
                <w:rFonts w:ascii="Arial" w:hAnsi="Arial" w:cs="Arial"/>
                <w:color w:val="000000"/>
                <w:sz w:val="16"/>
                <w:szCs w:val="16"/>
              </w:rPr>
            </w:pPr>
            <w:r w:rsidRPr="000B066B">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4B3F8B2D" w14:textId="77777777" w:rsidR="009021F6" w:rsidRPr="000B066B" w:rsidRDefault="009021F6" w:rsidP="009021F6">
            <w:pPr>
              <w:rPr>
                <w:rFonts w:ascii="Arial" w:hAnsi="Arial" w:cs="Arial"/>
                <w:color w:val="000000"/>
                <w:sz w:val="16"/>
                <w:szCs w:val="16"/>
              </w:rPr>
            </w:pPr>
            <w:r w:rsidRPr="000B066B">
              <w:rPr>
                <w:rFonts w:ascii="Arial" w:hAnsi="Arial" w:cs="Arial"/>
                <w:color w:val="000000"/>
                <w:sz w:val="16"/>
                <w:szCs w:val="16"/>
              </w:rPr>
              <w:t>Medio</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FCB1756" w14:textId="3695B82B"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7.30</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D4B1DDB" w14:textId="76DF831E"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6.85</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5C50558" w14:textId="20918893"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5.70</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26ACFF1" w14:textId="1D5B3DA6"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4.77</w:t>
            </w:r>
          </w:p>
        </w:tc>
      </w:tr>
      <w:tr w:rsidR="009021F6" w:rsidRPr="000B066B" w14:paraId="3235DFED" w14:textId="77777777" w:rsidTr="00265AE3">
        <w:trPr>
          <w:trHeight w:val="288"/>
          <w:jc w:val="center"/>
        </w:trPr>
        <w:tc>
          <w:tcPr>
            <w:tcW w:w="1339" w:type="dxa"/>
            <w:tcBorders>
              <w:top w:val="nil"/>
              <w:left w:val="single" w:sz="4" w:space="0" w:color="auto"/>
              <w:bottom w:val="single" w:sz="4" w:space="0" w:color="auto"/>
              <w:right w:val="single" w:sz="4" w:space="0" w:color="auto"/>
            </w:tcBorders>
            <w:shd w:val="clear" w:color="000000" w:fill="FFFFFF"/>
            <w:noWrap/>
            <w:vAlign w:val="center"/>
            <w:hideMark/>
          </w:tcPr>
          <w:p w14:paraId="34D43242" w14:textId="77777777" w:rsidR="009021F6" w:rsidRPr="000B066B" w:rsidRDefault="009021F6" w:rsidP="009021F6">
            <w:pPr>
              <w:jc w:val="center"/>
              <w:rPr>
                <w:rFonts w:ascii="Arial" w:hAnsi="Arial" w:cs="Arial"/>
                <w:color w:val="000000"/>
                <w:sz w:val="16"/>
                <w:szCs w:val="16"/>
              </w:rPr>
            </w:pPr>
            <w:r w:rsidRPr="000B066B">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4B98CC3E" w14:textId="77777777" w:rsidR="009021F6" w:rsidRPr="000B066B" w:rsidRDefault="009021F6" w:rsidP="009021F6">
            <w:pPr>
              <w:rPr>
                <w:rFonts w:ascii="Arial" w:hAnsi="Arial" w:cs="Arial"/>
                <w:color w:val="000000"/>
                <w:sz w:val="16"/>
                <w:szCs w:val="16"/>
              </w:rPr>
            </w:pPr>
            <w:r w:rsidRPr="000B066B">
              <w:rPr>
                <w:rFonts w:ascii="Arial" w:hAnsi="Arial" w:cs="Arial"/>
                <w:color w:val="000000"/>
                <w:sz w:val="16"/>
                <w:szCs w:val="16"/>
              </w:rPr>
              <w:t>Optimista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FE03E31" w14:textId="7AE12D33"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8.77</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8BEA536" w14:textId="4D08CC10"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8.22</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4D4C010" w14:textId="5F63204C"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6.84</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0D90F89" w14:textId="039306BB" w:rsidR="009021F6" w:rsidRPr="009021F6" w:rsidRDefault="009021F6" w:rsidP="009021F6">
            <w:pPr>
              <w:jc w:val="center"/>
              <w:rPr>
                <w:rFonts w:ascii="Arial" w:hAnsi="Arial" w:cs="Arial"/>
                <w:color w:val="000000"/>
                <w:sz w:val="16"/>
                <w:szCs w:val="16"/>
              </w:rPr>
            </w:pPr>
            <w:r w:rsidRPr="009021F6">
              <w:rPr>
                <w:rFonts w:ascii="Arial" w:hAnsi="Arial" w:cs="Arial"/>
                <w:color w:val="000000"/>
                <w:sz w:val="16"/>
                <w:szCs w:val="16"/>
              </w:rPr>
              <w:t>5.73</w:t>
            </w:r>
          </w:p>
        </w:tc>
      </w:tr>
    </w:tbl>
    <w:p w14:paraId="3404C1C1" w14:textId="6EFED923" w:rsidR="00D67B12" w:rsidRDefault="00D67B12" w:rsidP="005E4A14">
      <w:pPr>
        <w:autoSpaceDE w:val="0"/>
        <w:autoSpaceDN w:val="0"/>
        <w:adjustRightInd w:val="0"/>
        <w:jc w:val="center"/>
        <w:rPr>
          <w:rFonts w:ascii="Arial" w:hAnsi="Arial" w:cs="Arial"/>
          <w:noProof/>
          <w:sz w:val="16"/>
          <w:szCs w:val="16"/>
          <w:lang w:eastAsia="it-IT"/>
        </w:rPr>
      </w:pPr>
    </w:p>
    <w:p w14:paraId="405B6749" w14:textId="77777777" w:rsidR="00E96BF7" w:rsidRPr="00210A53" w:rsidRDefault="00E96BF7" w:rsidP="00B266A0">
      <w:pPr>
        <w:autoSpaceDE w:val="0"/>
        <w:autoSpaceDN w:val="0"/>
        <w:adjustRightInd w:val="0"/>
        <w:jc w:val="center"/>
        <w:rPr>
          <w:rFonts w:ascii="Arial" w:hAnsi="Arial" w:cs="Arial"/>
          <w:sz w:val="18"/>
          <w:szCs w:val="16"/>
        </w:rPr>
      </w:pPr>
      <w:r w:rsidRPr="00210A53">
        <w:rPr>
          <w:rFonts w:ascii="Arial" w:hAnsi="Arial" w:cs="Arial"/>
          <w:sz w:val="18"/>
          <w:szCs w:val="16"/>
        </w:rPr>
        <w:t>Nota: En verde se resaltan los valores positivos de la razón beneficio/costo.</w:t>
      </w:r>
    </w:p>
    <w:p w14:paraId="0D961FC8" w14:textId="447EBAE6" w:rsidR="00E96BF7" w:rsidRDefault="00E96BF7" w:rsidP="00B266A0">
      <w:pPr>
        <w:autoSpaceDE w:val="0"/>
        <w:autoSpaceDN w:val="0"/>
        <w:adjustRightInd w:val="0"/>
        <w:jc w:val="center"/>
        <w:rPr>
          <w:rFonts w:ascii="Arial" w:hAnsi="Arial" w:cs="Arial"/>
          <w:sz w:val="18"/>
          <w:szCs w:val="16"/>
        </w:rPr>
      </w:pPr>
      <w:r w:rsidRPr="00210A53">
        <w:rPr>
          <w:rFonts w:ascii="Arial" w:hAnsi="Arial" w:cs="Arial"/>
          <w:sz w:val="18"/>
          <w:szCs w:val="16"/>
        </w:rPr>
        <w:t>Fuente: Elaboración de los autores.</w:t>
      </w:r>
    </w:p>
    <w:p w14:paraId="4CD4D6BB" w14:textId="77777777" w:rsidR="00B266A0" w:rsidRPr="00210A53" w:rsidRDefault="00B266A0" w:rsidP="00B266A0">
      <w:pPr>
        <w:autoSpaceDE w:val="0"/>
        <w:autoSpaceDN w:val="0"/>
        <w:adjustRightInd w:val="0"/>
        <w:jc w:val="center"/>
        <w:rPr>
          <w:rFonts w:ascii="Arial" w:hAnsi="Arial" w:cs="Arial"/>
          <w:sz w:val="18"/>
          <w:szCs w:val="16"/>
        </w:rPr>
      </w:pPr>
    </w:p>
    <w:p w14:paraId="0B078522" w14:textId="78362C38" w:rsidR="00F71181" w:rsidRPr="003E1E07" w:rsidRDefault="00144D89" w:rsidP="00530750">
      <w:pPr>
        <w:spacing w:before="120" w:after="120"/>
        <w:jc w:val="both"/>
        <w:rPr>
          <w:rFonts w:ascii="Arial" w:hAnsi="Arial" w:cs="Arial"/>
          <w:sz w:val="22"/>
          <w:szCs w:val="22"/>
        </w:rPr>
      </w:pPr>
      <w:bookmarkStart w:id="42" w:name="_Toc296257192"/>
      <w:r w:rsidRPr="00210A53">
        <w:rPr>
          <w:rFonts w:ascii="Arial" w:hAnsi="Arial" w:cs="Arial"/>
          <w:sz w:val="22"/>
          <w:szCs w:val="22"/>
        </w:rPr>
        <w:t>También</w:t>
      </w:r>
      <w:r w:rsidR="007A3C77" w:rsidRPr="00210A53">
        <w:rPr>
          <w:rFonts w:ascii="Arial" w:hAnsi="Arial" w:cs="Arial"/>
          <w:sz w:val="22"/>
          <w:szCs w:val="22"/>
        </w:rPr>
        <w:t xml:space="preserve"> se ha estimado la tasa i</w:t>
      </w:r>
      <w:r w:rsidR="00E461C2" w:rsidRPr="00210A53">
        <w:rPr>
          <w:rFonts w:ascii="Arial" w:hAnsi="Arial" w:cs="Arial"/>
          <w:sz w:val="22"/>
          <w:szCs w:val="22"/>
        </w:rPr>
        <w:t>nterna de retorno (TIR), es decir</w:t>
      </w:r>
      <w:r w:rsidR="00F71181" w:rsidRPr="00210A53">
        <w:rPr>
          <w:rFonts w:ascii="Arial" w:hAnsi="Arial" w:cs="Arial"/>
          <w:sz w:val="22"/>
          <w:szCs w:val="22"/>
        </w:rPr>
        <w:t xml:space="preserve"> la tasa de descuento con la que el valor presente neto (VPN) es igual a cero, para el escena</w:t>
      </w:r>
      <w:r w:rsidR="00DF697A" w:rsidRPr="00210A53">
        <w:rPr>
          <w:rFonts w:ascii="Arial" w:hAnsi="Arial" w:cs="Arial"/>
          <w:sz w:val="22"/>
          <w:szCs w:val="22"/>
        </w:rPr>
        <w:t>rio de cobertura media</w:t>
      </w:r>
      <w:r w:rsidR="00F71181" w:rsidRPr="00210A53">
        <w:rPr>
          <w:rFonts w:ascii="Arial" w:hAnsi="Arial" w:cs="Arial"/>
          <w:sz w:val="22"/>
          <w:szCs w:val="22"/>
        </w:rPr>
        <w:t xml:space="preserve"> con vector de gradualidad regular. </w:t>
      </w:r>
      <w:r w:rsidR="00E461C2" w:rsidRPr="00210A53">
        <w:rPr>
          <w:rFonts w:ascii="Arial" w:hAnsi="Arial" w:cs="Arial"/>
          <w:sz w:val="22"/>
          <w:szCs w:val="22"/>
        </w:rPr>
        <w:t>H</w:t>
      </w:r>
      <w:r w:rsidR="00F71181" w:rsidRPr="00210A53">
        <w:rPr>
          <w:rFonts w:ascii="Arial" w:hAnsi="Arial" w:cs="Arial"/>
          <w:sz w:val="22"/>
          <w:szCs w:val="22"/>
        </w:rPr>
        <w:t xml:space="preserve">emos calculado </w:t>
      </w:r>
      <w:r w:rsidR="00DF697A" w:rsidRPr="00210A53">
        <w:rPr>
          <w:rFonts w:ascii="Arial" w:hAnsi="Arial" w:cs="Arial"/>
          <w:sz w:val="22"/>
          <w:szCs w:val="22"/>
        </w:rPr>
        <w:t>los flujos de caja esperados</w:t>
      </w:r>
      <w:r w:rsidR="00EC17B6" w:rsidRPr="00210A53">
        <w:rPr>
          <w:rFonts w:ascii="Arial" w:hAnsi="Arial" w:cs="Arial"/>
          <w:sz w:val="22"/>
          <w:szCs w:val="22"/>
        </w:rPr>
        <w:t xml:space="preserve">, considerando los beneficios del </w:t>
      </w:r>
      <w:r w:rsidR="00FA0D82" w:rsidRPr="00210A53">
        <w:rPr>
          <w:rFonts w:ascii="Arial" w:hAnsi="Arial" w:cs="Arial"/>
          <w:sz w:val="22"/>
          <w:szCs w:val="22"/>
        </w:rPr>
        <w:t>programa</w:t>
      </w:r>
      <w:r w:rsidR="001C76B5" w:rsidRPr="00210A53">
        <w:rPr>
          <w:rFonts w:ascii="Arial" w:hAnsi="Arial" w:cs="Arial"/>
          <w:sz w:val="22"/>
          <w:szCs w:val="22"/>
        </w:rPr>
        <w:t xml:space="preserve"> menos sus costos </w:t>
      </w:r>
      <w:r w:rsidR="00DF697A" w:rsidRPr="00210A53">
        <w:rPr>
          <w:rFonts w:ascii="Arial" w:hAnsi="Arial" w:cs="Arial"/>
          <w:sz w:val="22"/>
          <w:szCs w:val="22"/>
        </w:rPr>
        <w:t xml:space="preserve">en valores corrientes </w:t>
      </w:r>
      <w:r w:rsidR="001C76B5" w:rsidRPr="00210A53">
        <w:rPr>
          <w:rFonts w:ascii="Arial" w:hAnsi="Arial" w:cs="Arial"/>
          <w:sz w:val="22"/>
          <w:szCs w:val="22"/>
        </w:rPr>
        <w:t>(Tabla 1</w:t>
      </w:r>
      <w:r w:rsidR="009F0093">
        <w:rPr>
          <w:rFonts w:ascii="Arial" w:hAnsi="Arial" w:cs="Arial"/>
          <w:sz w:val="22"/>
          <w:szCs w:val="22"/>
        </w:rPr>
        <w:t>1</w:t>
      </w:r>
      <w:r w:rsidR="00EC17B6" w:rsidRPr="00210A53">
        <w:rPr>
          <w:rFonts w:ascii="Arial" w:hAnsi="Arial" w:cs="Arial"/>
          <w:sz w:val="22"/>
          <w:szCs w:val="22"/>
        </w:rPr>
        <w:t>). En el escenario más realista</w:t>
      </w:r>
      <w:r w:rsidR="00DF697A" w:rsidRPr="00210A53">
        <w:rPr>
          <w:rFonts w:ascii="Arial" w:hAnsi="Arial" w:cs="Arial"/>
          <w:sz w:val="22"/>
          <w:szCs w:val="22"/>
        </w:rPr>
        <w:t xml:space="preserve">, es decir el de cobertura media con vector de gradualidad regular, el VPN del </w:t>
      </w:r>
      <w:r w:rsidR="00FA0D82" w:rsidRPr="00210A53">
        <w:rPr>
          <w:rFonts w:ascii="Arial" w:hAnsi="Arial" w:cs="Arial"/>
          <w:sz w:val="22"/>
          <w:szCs w:val="22"/>
        </w:rPr>
        <w:t>programa</w:t>
      </w:r>
      <w:r w:rsidR="00DF697A" w:rsidRPr="00210A53">
        <w:rPr>
          <w:rFonts w:ascii="Arial" w:hAnsi="Arial" w:cs="Arial"/>
          <w:sz w:val="22"/>
          <w:szCs w:val="22"/>
        </w:rPr>
        <w:t xml:space="preserve"> </w:t>
      </w:r>
      <w:r w:rsidR="00DF697A" w:rsidRPr="00020675">
        <w:rPr>
          <w:rFonts w:ascii="Arial" w:hAnsi="Arial" w:cs="Arial"/>
          <w:sz w:val="22"/>
          <w:szCs w:val="22"/>
        </w:rPr>
        <w:t xml:space="preserve">considerando </w:t>
      </w:r>
      <w:r w:rsidR="0039216A" w:rsidRPr="00020675">
        <w:rPr>
          <w:rFonts w:ascii="Arial" w:hAnsi="Arial" w:cs="Arial"/>
          <w:sz w:val="22"/>
          <w:szCs w:val="22"/>
        </w:rPr>
        <w:t xml:space="preserve">una </w:t>
      </w:r>
      <w:r w:rsidR="0039216A" w:rsidRPr="003E1E07">
        <w:rPr>
          <w:rFonts w:ascii="Arial" w:hAnsi="Arial" w:cs="Arial"/>
          <w:sz w:val="22"/>
          <w:szCs w:val="22"/>
        </w:rPr>
        <w:t xml:space="preserve">tasa de descuento del 3% </w:t>
      </w:r>
      <w:r w:rsidR="00DF697A" w:rsidRPr="003E1E07">
        <w:rPr>
          <w:rFonts w:ascii="Arial" w:hAnsi="Arial" w:cs="Arial"/>
          <w:sz w:val="22"/>
          <w:szCs w:val="22"/>
        </w:rPr>
        <w:t xml:space="preserve">es </w:t>
      </w:r>
      <w:r w:rsidR="00636F37" w:rsidRPr="003E1E07">
        <w:rPr>
          <w:rFonts w:ascii="Arial" w:hAnsi="Arial" w:cs="Arial"/>
          <w:sz w:val="22"/>
          <w:szCs w:val="22"/>
        </w:rPr>
        <w:t>US$</w:t>
      </w:r>
      <w:r w:rsidR="00BE736D">
        <w:rPr>
          <w:rFonts w:ascii="Arial" w:hAnsi="Arial" w:cs="Arial"/>
          <w:sz w:val="22"/>
          <w:szCs w:val="22"/>
        </w:rPr>
        <w:t>1</w:t>
      </w:r>
      <w:r w:rsidR="00020675" w:rsidRPr="003E1E07">
        <w:rPr>
          <w:rFonts w:ascii="Arial" w:hAnsi="Arial" w:cs="Arial"/>
          <w:sz w:val="22"/>
          <w:szCs w:val="22"/>
        </w:rPr>
        <w:t>2.048.290</w:t>
      </w:r>
      <w:r w:rsidR="00A32268" w:rsidRPr="003E1E07">
        <w:rPr>
          <w:rFonts w:ascii="Arial" w:hAnsi="Arial" w:cs="Arial"/>
          <w:sz w:val="22"/>
          <w:szCs w:val="22"/>
        </w:rPr>
        <w:t xml:space="preserve"> </w:t>
      </w:r>
      <w:r w:rsidR="00DF697A" w:rsidRPr="003E1E07">
        <w:rPr>
          <w:rFonts w:ascii="Arial" w:hAnsi="Arial" w:cs="Arial"/>
          <w:sz w:val="22"/>
          <w:szCs w:val="22"/>
        </w:rPr>
        <w:t>y la</w:t>
      </w:r>
      <w:r w:rsidR="00EC17B6" w:rsidRPr="003E1E07">
        <w:rPr>
          <w:rFonts w:ascii="Arial" w:hAnsi="Arial" w:cs="Arial"/>
          <w:sz w:val="22"/>
          <w:szCs w:val="22"/>
        </w:rPr>
        <w:t xml:space="preserve"> TIR </w:t>
      </w:r>
      <w:r w:rsidR="005A7BFD" w:rsidRPr="003E1E07">
        <w:rPr>
          <w:rFonts w:ascii="Arial" w:hAnsi="Arial" w:cs="Arial"/>
          <w:sz w:val="22"/>
          <w:szCs w:val="22"/>
        </w:rPr>
        <w:t xml:space="preserve">es </w:t>
      </w:r>
      <w:r w:rsidR="00FB21FC" w:rsidRPr="003E1E07">
        <w:rPr>
          <w:rFonts w:ascii="Arial" w:hAnsi="Arial" w:cs="Arial"/>
          <w:sz w:val="22"/>
          <w:szCs w:val="22"/>
        </w:rPr>
        <w:t>2</w:t>
      </w:r>
      <w:r w:rsidR="00020675" w:rsidRPr="003E1E07">
        <w:rPr>
          <w:rFonts w:ascii="Arial" w:hAnsi="Arial" w:cs="Arial"/>
          <w:sz w:val="22"/>
          <w:szCs w:val="22"/>
        </w:rPr>
        <w:t>2</w:t>
      </w:r>
      <w:r w:rsidR="00636F37" w:rsidRPr="003E1E07">
        <w:rPr>
          <w:rFonts w:ascii="Arial" w:hAnsi="Arial" w:cs="Arial"/>
          <w:sz w:val="22"/>
          <w:szCs w:val="22"/>
        </w:rPr>
        <w:t>%.</w:t>
      </w:r>
    </w:p>
    <w:p w14:paraId="79D231FE" w14:textId="77777777" w:rsidR="009B3F3F" w:rsidRPr="003E1E07" w:rsidRDefault="009B3F3F" w:rsidP="00EC17B6">
      <w:pPr>
        <w:keepNext/>
        <w:jc w:val="center"/>
        <w:rPr>
          <w:rFonts w:ascii="Arial" w:eastAsia="Cambria" w:hAnsi="Arial" w:cs="Arial"/>
          <w:b/>
          <w:bCs/>
          <w:sz w:val="18"/>
          <w:szCs w:val="20"/>
        </w:rPr>
      </w:pPr>
    </w:p>
    <w:p w14:paraId="22A4C4F8" w14:textId="59EE77B4" w:rsidR="00C35E98" w:rsidRPr="003E1E07" w:rsidRDefault="00D058BC" w:rsidP="00EC17B6">
      <w:pPr>
        <w:keepNext/>
        <w:jc w:val="center"/>
        <w:rPr>
          <w:rFonts w:ascii="Arial" w:eastAsia="Cambria" w:hAnsi="Arial" w:cs="Arial"/>
          <w:b/>
          <w:bCs/>
          <w:sz w:val="18"/>
          <w:szCs w:val="20"/>
        </w:rPr>
      </w:pPr>
      <w:r w:rsidRPr="003E1E07">
        <w:rPr>
          <w:rFonts w:ascii="Arial" w:eastAsia="Cambria" w:hAnsi="Arial" w:cs="Arial"/>
          <w:b/>
          <w:bCs/>
          <w:sz w:val="18"/>
          <w:szCs w:val="20"/>
        </w:rPr>
        <w:t>Tabla 1</w:t>
      </w:r>
      <w:r w:rsidR="009F0093" w:rsidRPr="003E1E07">
        <w:rPr>
          <w:rFonts w:ascii="Arial" w:eastAsia="Cambria" w:hAnsi="Arial" w:cs="Arial"/>
          <w:b/>
          <w:bCs/>
          <w:sz w:val="18"/>
          <w:szCs w:val="20"/>
        </w:rPr>
        <w:t>1</w:t>
      </w:r>
      <w:r w:rsidR="00C35E98" w:rsidRPr="003E1E07">
        <w:rPr>
          <w:rFonts w:ascii="Arial" w:eastAsia="Cambria" w:hAnsi="Arial" w:cs="Arial"/>
          <w:b/>
          <w:bCs/>
          <w:sz w:val="18"/>
          <w:szCs w:val="20"/>
        </w:rPr>
        <w:t xml:space="preserve">. </w:t>
      </w:r>
      <w:r w:rsidR="00EC17B6" w:rsidRPr="003E1E07">
        <w:rPr>
          <w:rFonts w:ascii="Arial" w:eastAsia="Cambria" w:hAnsi="Arial" w:cs="Arial"/>
          <w:b/>
          <w:bCs/>
          <w:sz w:val="18"/>
          <w:szCs w:val="20"/>
        </w:rPr>
        <w:t xml:space="preserve">Flujos de caja (beneficios </w:t>
      </w:r>
      <w:r w:rsidR="004D17E4" w:rsidRPr="003E1E07">
        <w:rPr>
          <w:rFonts w:ascii="Arial" w:eastAsia="Cambria" w:hAnsi="Arial" w:cs="Arial"/>
          <w:b/>
          <w:bCs/>
          <w:sz w:val="18"/>
          <w:szCs w:val="20"/>
        </w:rPr>
        <w:t>-</w:t>
      </w:r>
      <w:r w:rsidR="00C35E98" w:rsidRPr="003E1E07">
        <w:rPr>
          <w:rFonts w:ascii="Arial" w:eastAsia="Cambria" w:hAnsi="Arial" w:cs="Arial"/>
          <w:b/>
          <w:bCs/>
          <w:sz w:val="18"/>
          <w:szCs w:val="20"/>
        </w:rPr>
        <w:t xml:space="preserve"> cost</w:t>
      </w:r>
      <w:r w:rsidR="001C76B5" w:rsidRPr="003E1E07">
        <w:rPr>
          <w:rFonts w:ascii="Arial" w:eastAsia="Cambria" w:hAnsi="Arial" w:cs="Arial"/>
          <w:b/>
          <w:bCs/>
          <w:sz w:val="18"/>
          <w:szCs w:val="20"/>
        </w:rPr>
        <w:t>os), 20</w:t>
      </w:r>
      <w:r w:rsidR="00705049" w:rsidRPr="003E1E07">
        <w:rPr>
          <w:rFonts w:ascii="Arial" w:eastAsia="Cambria" w:hAnsi="Arial" w:cs="Arial"/>
          <w:b/>
          <w:bCs/>
          <w:sz w:val="18"/>
          <w:szCs w:val="20"/>
        </w:rPr>
        <w:t>2</w:t>
      </w:r>
      <w:r w:rsidR="006B00CA" w:rsidRPr="003E1E07">
        <w:rPr>
          <w:rFonts w:ascii="Arial" w:eastAsia="Cambria" w:hAnsi="Arial" w:cs="Arial"/>
          <w:b/>
          <w:bCs/>
          <w:sz w:val="18"/>
          <w:szCs w:val="20"/>
        </w:rPr>
        <w:t>2</w:t>
      </w:r>
      <w:r w:rsidR="001C76B5" w:rsidRPr="003E1E07">
        <w:rPr>
          <w:rFonts w:ascii="Arial" w:eastAsia="Cambria" w:hAnsi="Arial" w:cs="Arial"/>
          <w:b/>
          <w:bCs/>
          <w:sz w:val="18"/>
          <w:szCs w:val="20"/>
        </w:rPr>
        <w:t>-202</w:t>
      </w:r>
      <w:r w:rsidR="006B00CA" w:rsidRPr="003E1E07">
        <w:rPr>
          <w:rFonts w:ascii="Arial" w:eastAsia="Cambria" w:hAnsi="Arial" w:cs="Arial"/>
          <w:b/>
          <w:bCs/>
          <w:sz w:val="18"/>
          <w:szCs w:val="20"/>
        </w:rPr>
        <w:t>7</w:t>
      </w:r>
    </w:p>
    <w:p w14:paraId="39F45E71" w14:textId="77777777" w:rsidR="00EC17B6" w:rsidRPr="003E1E07" w:rsidRDefault="00EC17B6" w:rsidP="00C35E98">
      <w:pPr>
        <w:keepNext/>
        <w:jc w:val="both"/>
        <w:rPr>
          <w:rFonts w:ascii="Arial" w:hAnsi="Arial" w:cs="Arial"/>
          <w:sz w:val="22"/>
          <w:szCs w:val="22"/>
        </w:rPr>
      </w:pPr>
    </w:p>
    <w:tbl>
      <w:tblPr>
        <w:tblStyle w:val="PlainTable2"/>
        <w:tblW w:w="0" w:type="auto"/>
        <w:jc w:val="center"/>
        <w:tblLook w:val="04A0" w:firstRow="1" w:lastRow="0" w:firstColumn="1" w:lastColumn="0" w:noHBand="0" w:noVBand="1"/>
      </w:tblPr>
      <w:tblGrid>
        <w:gridCol w:w="1296"/>
        <w:gridCol w:w="1176"/>
        <w:gridCol w:w="1296"/>
        <w:gridCol w:w="1296"/>
        <w:gridCol w:w="1296"/>
        <w:gridCol w:w="1296"/>
        <w:gridCol w:w="1296"/>
      </w:tblGrid>
      <w:tr w:rsidR="00287EC3" w:rsidRPr="006B00CA" w14:paraId="15D891A7" w14:textId="77777777" w:rsidTr="00287EC3">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2398F9D2" w14:textId="77777777" w:rsidR="00287EC3" w:rsidRPr="003E1E07" w:rsidRDefault="00287EC3" w:rsidP="00197C44">
            <w:pPr>
              <w:keepNext/>
              <w:rPr>
                <w:rFonts w:ascii="Arial" w:hAnsi="Arial" w:cs="Arial"/>
                <w:sz w:val="16"/>
                <w:szCs w:val="16"/>
              </w:rPr>
            </w:pPr>
          </w:p>
        </w:tc>
        <w:tc>
          <w:tcPr>
            <w:tcW w:w="1176" w:type="dxa"/>
            <w:vAlign w:val="center"/>
          </w:tcPr>
          <w:p w14:paraId="3EB4A303" w14:textId="2441389A" w:rsidR="00287EC3" w:rsidRPr="003E1E07" w:rsidRDefault="00287EC3" w:rsidP="00287EC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E1E07">
              <w:rPr>
                <w:rFonts w:ascii="Arial" w:hAnsi="Arial" w:cs="Arial"/>
                <w:sz w:val="16"/>
                <w:szCs w:val="16"/>
              </w:rPr>
              <w:t>202</w:t>
            </w:r>
            <w:r w:rsidR="006B00CA" w:rsidRPr="003E1E07">
              <w:rPr>
                <w:rFonts w:ascii="Arial" w:hAnsi="Arial" w:cs="Arial"/>
                <w:sz w:val="16"/>
                <w:szCs w:val="16"/>
              </w:rPr>
              <w:t>2</w:t>
            </w:r>
            <w:r w:rsidRPr="003E1E07">
              <w:rPr>
                <w:rFonts w:ascii="Arial" w:hAnsi="Arial" w:cs="Arial"/>
                <w:sz w:val="16"/>
                <w:szCs w:val="16"/>
              </w:rPr>
              <w:t xml:space="preserve"> (US$)</w:t>
            </w:r>
          </w:p>
        </w:tc>
        <w:tc>
          <w:tcPr>
            <w:tcW w:w="1296" w:type="dxa"/>
            <w:vAlign w:val="center"/>
          </w:tcPr>
          <w:p w14:paraId="4A8E737B" w14:textId="2E162E2E" w:rsidR="00287EC3" w:rsidRPr="003E1E07" w:rsidRDefault="00287EC3" w:rsidP="00287EC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E1E07">
              <w:rPr>
                <w:rFonts w:ascii="Arial" w:hAnsi="Arial" w:cs="Arial"/>
                <w:sz w:val="16"/>
                <w:szCs w:val="16"/>
              </w:rPr>
              <w:t>202</w:t>
            </w:r>
            <w:r w:rsidR="006B00CA" w:rsidRPr="003E1E07">
              <w:rPr>
                <w:rFonts w:ascii="Arial" w:hAnsi="Arial" w:cs="Arial"/>
                <w:sz w:val="16"/>
                <w:szCs w:val="16"/>
              </w:rPr>
              <w:t>3</w:t>
            </w:r>
            <w:r w:rsidRPr="003E1E07">
              <w:rPr>
                <w:rFonts w:ascii="Arial" w:hAnsi="Arial" w:cs="Arial"/>
                <w:sz w:val="16"/>
                <w:szCs w:val="16"/>
              </w:rPr>
              <w:t xml:space="preserve"> (US$)</w:t>
            </w:r>
          </w:p>
        </w:tc>
        <w:tc>
          <w:tcPr>
            <w:tcW w:w="1296" w:type="dxa"/>
            <w:vAlign w:val="center"/>
          </w:tcPr>
          <w:p w14:paraId="32DE8CFF" w14:textId="40919A84" w:rsidR="00287EC3" w:rsidRPr="003E1E07" w:rsidRDefault="00287EC3" w:rsidP="00287EC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E1E07">
              <w:rPr>
                <w:rFonts w:ascii="Arial" w:hAnsi="Arial" w:cs="Arial"/>
                <w:sz w:val="16"/>
                <w:szCs w:val="16"/>
              </w:rPr>
              <w:t>202</w:t>
            </w:r>
            <w:r w:rsidR="006B00CA" w:rsidRPr="003E1E07">
              <w:rPr>
                <w:rFonts w:ascii="Arial" w:hAnsi="Arial" w:cs="Arial"/>
                <w:sz w:val="16"/>
                <w:szCs w:val="16"/>
              </w:rPr>
              <w:t>4</w:t>
            </w:r>
            <w:r w:rsidRPr="003E1E07">
              <w:rPr>
                <w:rFonts w:ascii="Arial" w:hAnsi="Arial" w:cs="Arial"/>
                <w:sz w:val="16"/>
                <w:szCs w:val="16"/>
              </w:rPr>
              <w:t xml:space="preserve"> (US$)</w:t>
            </w:r>
          </w:p>
        </w:tc>
        <w:tc>
          <w:tcPr>
            <w:tcW w:w="1296" w:type="dxa"/>
            <w:vAlign w:val="center"/>
          </w:tcPr>
          <w:p w14:paraId="1ED3E37D" w14:textId="64E9E4AD" w:rsidR="00287EC3" w:rsidRPr="003E1E07" w:rsidRDefault="00287EC3" w:rsidP="00287EC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E1E07">
              <w:rPr>
                <w:rFonts w:ascii="Arial" w:hAnsi="Arial" w:cs="Arial"/>
                <w:sz w:val="16"/>
                <w:szCs w:val="16"/>
              </w:rPr>
              <w:t>202</w:t>
            </w:r>
            <w:r w:rsidR="006B00CA" w:rsidRPr="003E1E07">
              <w:rPr>
                <w:rFonts w:ascii="Arial" w:hAnsi="Arial" w:cs="Arial"/>
                <w:sz w:val="16"/>
                <w:szCs w:val="16"/>
              </w:rPr>
              <w:t>5</w:t>
            </w:r>
            <w:r w:rsidRPr="003E1E07">
              <w:rPr>
                <w:rFonts w:ascii="Arial" w:hAnsi="Arial" w:cs="Arial"/>
                <w:sz w:val="16"/>
                <w:szCs w:val="16"/>
              </w:rPr>
              <w:t xml:space="preserve"> (US$)</w:t>
            </w:r>
          </w:p>
        </w:tc>
        <w:tc>
          <w:tcPr>
            <w:tcW w:w="1296" w:type="dxa"/>
            <w:vAlign w:val="center"/>
          </w:tcPr>
          <w:p w14:paraId="41CAE583" w14:textId="3FC41629" w:rsidR="00287EC3" w:rsidRPr="003E1E07" w:rsidRDefault="00287EC3" w:rsidP="00287EC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E1E07">
              <w:rPr>
                <w:rFonts w:ascii="Arial" w:hAnsi="Arial" w:cs="Arial"/>
                <w:sz w:val="16"/>
                <w:szCs w:val="16"/>
              </w:rPr>
              <w:t>202</w:t>
            </w:r>
            <w:r w:rsidR="006B00CA" w:rsidRPr="003E1E07">
              <w:rPr>
                <w:rFonts w:ascii="Arial" w:hAnsi="Arial" w:cs="Arial"/>
                <w:sz w:val="16"/>
                <w:szCs w:val="16"/>
              </w:rPr>
              <w:t>6</w:t>
            </w:r>
            <w:r w:rsidRPr="003E1E07">
              <w:rPr>
                <w:rFonts w:ascii="Arial" w:hAnsi="Arial" w:cs="Arial"/>
                <w:sz w:val="16"/>
                <w:szCs w:val="16"/>
              </w:rPr>
              <w:t xml:space="preserve"> (US$)</w:t>
            </w:r>
          </w:p>
        </w:tc>
        <w:tc>
          <w:tcPr>
            <w:tcW w:w="1296" w:type="dxa"/>
            <w:vAlign w:val="center"/>
          </w:tcPr>
          <w:p w14:paraId="1FD3A7C9" w14:textId="00EE15DF" w:rsidR="00287EC3" w:rsidRPr="006B00CA" w:rsidRDefault="00287EC3" w:rsidP="00287EC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3E1E07">
              <w:rPr>
                <w:rFonts w:ascii="Arial" w:hAnsi="Arial" w:cs="Arial"/>
                <w:sz w:val="16"/>
                <w:szCs w:val="16"/>
              </w:rPr>
              <w:t>202</w:t>
            </w:r>
            <w:r w:rsidR="006B00CA" w:rsidRPr="003E1E07">
              <w:rPr>
                <w:rFonts w:ascii="Arial" w:hAnsi="Arial" w:cs="Arial"/>
                <w:sz w:val="16"/>
                <w:szCs w:val="16"/>
              </w:rPr>
              <w:t>7</w:t>
            </w:r>
            <w:r w:rsidRPr="003E1E07">
              <w:rPr>
                <w:rFonts w:ascii="Arial" w:hAnsi="Arial" w:cs="Arial"/>
                <w:sz w:val="16"/>
                <w:szCs w:val="16"/>
              </w:rPr>
              <w:t xml:space="preserve"> (US$)</w:t>
            </w:r>
          </w:p>
        </w:tc>
      </w:tr>
      <w:tr w:rsidR="00DE7084" w:rsidRPr="006B00CA" w14:paraId="69655E23" w14:textId="77777777" w:rsidTr="00287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30588005" w14:textId="4E549E17" w:rsidR="00DE7084" w:rsidRPr="006B00CA" w:rsidRDefault="00DE7084" w:rsidP="00DE7084">
            <w:pPr>
              <w:keepNext/>
              <w:rPr>
                <w:rFonts w:ascii="Arial" w:hAnsi="Arial" w:cs="Arial"/>
                <w:sz w:val="16"/>
                <w:szCs w:val="16"/>
              </w:rPr>
            </w:pPr>
            <w:r w:rsidRPr="006B00CA">
              <w:rPr>
                <w:rFonts w:ascii="Arial" w:hAnsi="Arial" w:cs="Arial"/>
                <w:sz w:val="16"/>
                <w:szCs w:val="16"/>
              </w:rPr>
              <w:t xml:space="preserve">Beneficios </w:t>
            </w:r>
          </w:p>
        </w:tc>
        <w:tc>
          <w:tcPr>
            <w:tcW w:w="1176" w:type="dxa"/>
            <w:vAlign w:val="center"/>
          </w:tcPr>
          <w:p w14:paraId="4E341D2D" w14:textId="2C1BC7F9" w:rsidR="00DE7084" w:rsidRPr="00DE7084" w:rsidRDefault="00DE7084" w:rsidP="00DE7084">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E7084">
              <w:rPr>
                <w:rFonts w:ascii="Arial" w:hAnsi="Arial" w:cs="Arial"/>
                <w:color w:val="000000"/>
                <w:sz w:val="16"/>
                <w:szCs w:val="16"/>
              </w:rPr>
              <w:t>0</w:t>
            </w:r>
          </w:p>
        </w:tc>
        <w:tc>
          <w:tcPr>
            <w:tcW w:w="1296" w:type="dxa"/>
            <w:vAlign w:val="center"/>
          </w:tcPr>
          <w:p w14:paraId="1DE74298" w14:textId="06626EAC" w:rsidR="00DE7084" w:rsidRPr="00DE7084" w:rsidRDefault="00DE7084" w:rsidP="00DE7084">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E7084">
              <w:rPr>
                <w:rFonts w:ascii="Arial" w:hAnsi="Arial" w:cs="Arial"/>
                <w:color w:val="000000"/>
                <w:sz w:val="16"/>
                <w:szCs w:val="16"/>
              </w:rPr>
              <w:t>0</w:t>
            </w:r>
          </w:p>
        </w:tc>
        <w:tc>
          <w:tcPr>
            <w:tcW w:w="1296" w:type="dxa"/>
            <w:vAlign w:val="center"/>
          </w:tcPr>
          <w:p w14:paraId="40502DA0" w14:textId="6D9D4DAD" w:rsidR="00DE7084" w:rsidRPr="00DE7084" w:rsidRDefault="00DE7084" w:rsidP="00DE7084">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E7084">
              <w:rPr>
                <w:rFonts w:ascii="Arial" w:hAnsi="Arial" w:cs="Arial"/>
                <w:color w:val="000000"/>
                <w:sz w:val="16"/>
                <w:szCs w:val="16"/>
              </w:rPr>
              <w:t>0</w:t>
            </w:r>
          </w:p>
        </w:tc>
        <w:tc>
          <w:tcPr>
            <w:tcW w:w="1296" w:type="dxa"/>
            <w:vAlign w:val="center"/>
          </w:tcPr>
          <w:p w14:paraId="5EF32AA4" w14:textId="62C1693B" w:rsidR="00DE7084" w:rsidRPr="00DE7084" w:rsidRDefault="00DE7084" w:rsidP="00DE7084">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E7084">
              <w:rPr>
                <w:rFonts w:ascii="Arial" w:hAnsi="Arial" w:cs="Arial"/>
                <w:color w:val="000000"/>
                <w:sz w:val="16"/>
                <w:szCs w:val="16"/>
              </w:rPr>
              <w:t>14,789,408</w:t>
            </w:r>
          </w:p>
        </w:tc>
        <w:tc>
          <w:tcPr>
            <w:tcW w:w="1296" w:type="dxa"/>
            <w:vAlign w:val="center"/>
          </w:tcPr>
          <w:p w14:paraId="31B7B56A" w14:textId="560F280F" w:rsidR="00DE7084" w:rsidRPr="00DE7084" w:rsidRDefault="00DE7084" w:rsidP="00DE7084">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E7084">
              <w:rPr>
                <w:rFonts w:ascii="Arial" w:hAnsi="Arial" w:cs="Arial"/>
                <w:color w:val="000000"/>
                <w:sz w:val="16"/>
                <w:szCs w:val="16"/>
              </w:rPr>
              <w:t>31,521,578</w:t>
            </w:r>
          </w:p>
        </w:tc>
        <w:tc>
          <w:tcPr>
            <w:tcW w:w="1296" w:type="dxa"/>
            <w:vAlign w:val="center"/>
          </w:tcPr>
          <w:p w14:paraId="6FB76332" w14:textId="469052E0" w:rsidR="00DE7084" w:rsidRPr="00DE7084" w:rsidRDefault="00DE7084" w:rsidP="00DE7084">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E7084">
              <w:rPr>
                <w:rFonts w:ascii="Arial" w:hAnsi="Arial" w:cs="Arial"/>
                <w:color w:val="000000"/>
                <w:sz w:val="16"/>
                <w:szCs w:val="16"/>
              </w:rPr>
              <w:t>48,570,410</w:t>
            </w:r>
          </w:p>
        </w:tc>
      </w:tr>
      <w:tr w:rsidR="002740CC" w:rsidRPr="006B00CA" w14:paraId="21942A1D" w14:textId="77777777" w:rsidTr="00287EC3">
        <w:trPr>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70D950FC" w14:textId="1234B2D7" w:rsidR="002740CC" w:rsidRPr="006B00CA" w:rsidRDefault="002740CC" w:rsidP="002740CC">
            <w:pPr>
              <w:keepNext/>
              <w:rPr>
                <w:rFonts w:ascii="Arial" w:hAnsi="Arial" w:cs="Arial"/>
                <w:sz w:val="16"/>
                <w:szCs w:val="16"/>
                <w:highlight w:val="yellow"/>
              </w:rPr>
            </w:pPr>
            <w:r w:rsidRPr="002740CC">
              <w:rPr>
                <w:rFonts w:ascii="Arial" w:hAnsi="Arial" w:cs="Arial"/>
                <w:sz w:val="16"/>
                <w:szCs w:val="16"/>
              </w:rPr>
              <w:t xml:space="preserve">Costos </w:t>
            </w:r>
          </w:p>
        </w:tc>
        <w:tc>
          <w:tcPr>
            <w:tcW w:w="1176" w:type="dxa"/>
            <w:vAlign w:val="center"/>
          </w:tcPr>
          <w:p w14:paraId="5C04BF71" w14:textId="1F14A2FB" w:rsidR="002740CC" w:rsidRPr="002740CC" w:rsidRDefault="002740CC" w:rsidP="002740CC">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sidRPr="002740CC">
              <w:rPr>
                <w:rFonts w:ascii="Arial" w:hAnsi="Arial" w:cs="Arial"/>
                <w:color w:val="000000"/>
                <w:sz w:val="16"/>
                <w:szCs w:val="16"/>
              </w:rPr>
              <w:t>0</w:t>
            </w:r>
          </w:p>
        </w:tc>
        <w:tc>
          <w:tcPr>
            <w:tcW w:w="1296" w:type="dxa"/>
            <w:vAlign w:val="center"/>
          </w:tcPr>
          <w:p w14:paraId="2FEC5CE8" w14:textId="755C8417" w:rsidR="002740CC" w:rsidRPr="002740CC" w:rsidRDefault="002740CC" w:rsidP="002740CC">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sidRPr="002740CC">
              <w:rPr>
                <w:rFonts w:ascii="Arial" w:hAnsi="Arial" w:cs="Arial"/>
                <w:color w:val="000000"/>
                <w:sz w:val="16"/>
                <w:szCs w:val="16"/>
              </w:rPr>
              <w:t>3,994,227</w:t>
            </w:r>
          </w:p>
        </w:tc>
        <w:tc>
          <w:tcPr>
            <w:tcW w:w="1296" w:type="dxa"/>
            <w:vAlign w:val="center"/>
          </w:tcPr>
          <w:p w14:paraId="3D314178" w14:textId="4D5C2D82" w:rsidR="002740CC" w:rsidRPr="002740CC" w:rsidRDefault="002740CC" w:rsidP="002740CC">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sidRPr="002740CC">
              <w:rPr>
                <w:rFonts w:ascii="Arial" w:hAnsi="Arial" w:cs="Arial"/>
                <w:color w:val="000000"/>
                <w:sz w:val="16"/>
                <w:szCs w:val="16"/>
              </w:rPr>
              <w:t>3,922,193</w:t>
            </w:r>
          </w:p>
        </w:tc>
        <w:tc>
          <w:tcPr>
            <w:tcW w:w="1296" w:type="dxa"/>
            <w:vAlign w:val="center"/>
          </w:tcPr>
          <w:p w14:paraId="25A97642" w14:textId="23742C47" w:rsidR="002740CC" w:rsidRPr="002740CC" w:rsidRDefault="002740CC" w:rsidP="002740CC">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sidRPr="002740CC">
              <w:rPr>
                <w:rFonts w:ascii="Arial" w:hAnsi="Arial" w:cs="Arial"/>
                <w:color w:val="000000"/>
                <w:sz w:val="16"/>
                <w:szCs w:val="16"/>
              </w:rPr>
              <w:t>29,406,192</w:t>
            </w:r>
          </w:p>
        </w:tc>
        <w:tc>
          <w:tcPr>
            <w:tcW w:w="1296" w:type="dxa"/>
            <w:vAlign w:val="center"/>
          </w:tcPr>
          <w:p w14:paraId="712A7766" w14:textId="58DAC7FA" w:rsidR="002740CC" w:rsidRPr="002740CC" w:rsidRDefault="002740CC" w:rsidP="002740CC">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sidRPr="002740CC">
              <w:rPr>
                <w:rFonts w:ascii="Arial" w:hAnsi="Arial" w:cs="Arial"/>
                <w:color w:val="000000"/>
                <w:sz w:val="16"/>
                <w:szCs w:val="16"/>
              </w:rPr>
              <w:t>36,564,754</w:t>
            </w:r>
          </w:p>
        </w:tc>
        <w:tc>
          <w:tcPr>
            <w:tcW w:w="1296" w:type="dxa"/>
            <w:vAlign w:val="center"/>
          </w:tcPr>
          <w:p w14:paraId="05337174" w14:textId="391D901D" w:rsidR="002740CC" w:rsidRPr="002740CC" w:rsidRDefault="002740CC" w:rsidP="002740CC">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highlight w:val="yellow"/>
              </w:rPr>
            </w:pPr>
            <w:r w:rsidRPr="002740CC">
              <w:rPr>
                <w:rFonts w:ascii="Arial" w:hAnsi="Arial" w:cs="Arial"/>
                <w:color w:val="000000"/>
                <w:sz w:val="16"/>
                <w:szCs w:val="16"/>
              </w:rPr>
              <w:t>4,701,280</w:t>
            </w:r>
          </w:p>
        </w:tc>
      </w:tr>
      <w:tr w:rsidR="002740CC" w:rsidRPr="006B00CA" w14:paraId="2F2BBC92" w14:textId="77777777" w:rsidTr="00287EC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4C204C23" w14:textId="6BB4C24A" w:rsidR="002740CC" w:rsidRPr="006B00CA" w:rsidRDefault="002740CC" w:rsidP="002740CC">
            <w:pPr>
              <w:keepNext/>
              <w:rPr>
                <w:rFonts w:ascii="Arial" w:hAnsi="Arial" w:cs="Arial"/>
                <w:sz w:val="16"/>
                <w:szCs w:val="16"/>
              </w:rPr>
            </w:pPr>
            <w:r w:rsidRPr="006B00CA">
              <w:rPr>
                <w:rFonts w:ascii="Arial" w:hAnsi="Arial" w:cs="Arial"/>
                <w:sz w:val="16"/>
                <w:szCs w:val="16"/>
              </w:rPr>
              <w:t>Flujo de caja</w:t>
            </w:r>
          </w:p>
        </w:tc>
        <w:tc>
          <w:tcPr>
            <w:tcW w:w="1176" w:type="dxa"/>
            <w:vAlign w:val="center"/>
          </w:tcPr>
          <w:p w14:paraId="0E15BE00" w14:textId="7D878C7D" w:rsidR="002740CC" w:rsidRPr="002740CC" w:rsidRDefault="002740CC" w:rsidP="002740CC">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740CC">
              <w:rPr>
                <w:rFonts w:ascii="Arial" w:hAnsi="Arial" w:cs="Arial"/>
                <w:sz w:val="16"/>
                <w:szCs w:val="16"/>
              </w:rPr>
              <w:t>0</w:t>
            </w:r>
          </w:p>
        </w:tc>
        <w:tc>
          <w:tcPr>
            <w:tcW w:w="1296" w:type="dxa"/>
            <w:vAlign w:val="center"/>
          </w:tcPr>
          <w:p w14:paraId="4E4FBB98" w14:textId="419DAF20" w:rsidR="002740CC" w:rsidRPr="002740CC" w:rsidRDefault="002740CC" w:rsidP="002740CC">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740CC">
              <w:rPr>
                <w:rFonts w:ascii="Arial" w:hAnsi="Arial" w:cs="Arial"/>
                <w:sz w:val="16"/>
                <w:szCs w:val="16"/>
              </w:rPr>
              <w:t>-3,994,227</w:t>
            </w:r>
          </w:p>
        </w:tc>
        <w:tc>
          <w:tcPr>
            <w:tcW w:w="1296" w:type="dxa"/>
            <w:vAlign w:val="center"/>
          </w:tcPr>
          <w:p w14:paraId="7326ACF6" w14:textId="10C48ADC" w:rsidR="002740CC" w:rsidRPr="002740CC" w:rsidRDefault="002740CC" w:rsidP="002740CC">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740CC">
              <w:rPr>
                <w:rFonts w:ascii="Arial" w:hAnsi="Arial" w:cs="Arial"/>
                <w:sz w:val="16"/>
                <w:szCs w:val="16"/>
              </w:rPr>
              <w:t>-3,922,193</w:t>
            </w:r>
          </w:p>
        </w:tc>
        <w:tc>
          <w:tcPr>
            <w:tcW w:w="1296" w:type="dxa"/>
            <w:vAlign w:val="center"/>
          </w:tcPr>
          <w:p w14:paraId="2DC64497" w14:textId="7E38DD5A" w:rsidR="002740CC" w:rsidRPr="002740CC" w:rsidRDefault="002740CC" w:rsidP="002740CC">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740CC">
              <w:rPr>
                <w:rFonts w:ascii="Arial" w:hAnsi="Arial" w:cs="Arial"/>
                <w:sz w:val="16"/>
                <w:szCs w:val="16"/>
              </w:rPr>
              <w:t>-14,616,784</w:t>
            </w:r>
          </w:p>
        </w:tc>
        <w:tc>
          <w:tcPr>
            <w:tcW w:w="1296" w:type="dxa"/>
            <w:vAlign w:val="center"/>
          </w:tcPr>
          <w:p w14:paraId="2A422C00" w14:textId="579821D2" w:rsidR="002740CC" w:rsidRPr="002740CC" w:rsidRDefault="002740CC" w:rsidP="002740CC">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740CC">
              <w:rPr>
                <w:rFonts w:ascii="Arial" w:hAnsi="Arial" w:cs="Arial"/>
                <w:sz w:val="16"/>
                <w:szCs w:val="16"/>
              </w:rPr>
              <w:t>-5,043,177</w:t>
            </w:r>
          </w:p>
        </w:tc>
        <w:tc>
          <w:tcPr>
            <w:tcW w:w="1296" w:type="dxa"/>
            <w:vAlign w:val="center"/>
          </w:tcPr>
          <w:p w14:paraId="479EB8FE" w14:textId="44D00F08" w:rsidR="002740CC" w:rsidRPr="002740CC" w:rsidRDefault="002740CC" w:rsidP="002740CC">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2740CC">
              <w:rPr>
                <w:rFonts w:ascii="Arial" w:hAnsi="Arial" w:cs="Arial"/>
                <w:sz w:val="16"/>
                <w:szCs w:val="16"/>
              </w:rPr>
              <w:t>43,869,130</w:t>
            </w:r>
          </w:p>
        </w:tc>
      </w:tr>
    </w:tbl>
    <w:p w14:paraId="6ED7DFE7" w14:textId="77777777" w:rsidR="00EC17B6" w:rsidRPr="00EE10BC" w:rsidRDefault="00EC17B6" w:rsidP="00C35E98">
      <w:pPr>
        <w:keepNext/>
        <w:jc w:val="both"/>
        <w:rPr>
          <w:rFonts w:ascii="Arial" w:hAnsi="Arial" w:cs="Arial"/>
          <w:sz w:val="22"/>
          <w:szCs w:val="22"/>
        </w:rPr>
      </w:pPr>
    </w:p>
    <w:p w14:paraId="7AF0E47D" w14:textId="77777777" w:rsidR="00EC17B6" w:rsidRPr="00EE10BC" w:rsidRDefault="00EC17B6" w:rsidP="009B3F3F">
      <w:pPr>
        <w:autoSpaceDE w:val="0"/>
        <w:autoSpaceDN w:val="0"/>
        <w:adjustRightInd w:val="0"/>
        <w:jc w:val="center"/>
        <w:rPr>
          <w:rFonts w:ascii="Arial" w:hAnsi="Arial" w:cs="Arial"/>
          <w:sz w:val="18"/>
          <w:szCs w:val="16"/>
        </w:rPr>
      </w:pPr>
      <w:r w:rsidRPr="00EE10BC">
        <w:rPr>
          <w:rFonts w:ascii="Arial" w:hAnsi="Arial" w:cs="Arial"/>
          <w:sz w:val="18"/>
          <w:szCs w:val="16"/>
        </w:rPr>
        <w:t>Fuente: Elaboración de los autores.</w:t>
      </w:r>
    </w:p>
    <w:p w14:paraId="42B02BAE" w14:textId="77777777" w:rsidR="00595471" w:rsidRPr="00EE10BC" w:rsidRDefault="00595471" w:rsidP="00595471">
      <w:pPr>
        <w:jc w:val="both"/>
        <w:rPr>
          <w:rFonts w:ascii="Arial" w:hAnsi="Arial" w:cs="Arial"/>
          <w:sz w:val="22"/>
          <w:szCs w:val="22"/>
        </w:rPr>
      </w:pPr>
    </w:p>
    <w:p w14:paraId="138B0364" w14:textId="7DC51CEF" w:rsidR="00975904" w:rsidRPr="00EE10BC" w:rsidRDefault="00D00F85" w:rsidP="006431D5">
      <w:pPr>
        <w:pStyle w:val="Heading3"/>
        <w:numPr>
          <w:ilvl w:val="0"/>
          <w:numId w:val="0"/>
        </w:numPr>
        <w:jc w:val="both"/>
        <w:rPr>
          <w:rFonts w:ascii="Arial" w:hAnsi="Arial" w:cs="Arial"/>
          <w:color w:val="auto"/>
        </w:rPr>
      </w:pPr>
      <w:bookmarkStart w:id="43" w:name="_Toc100512108"/>
      <w:r w:rsidRPr="00EE10BC">
        <w:rPr>
          <w:rFonts w:ascii="Arial" w:hAnsi="Arial" w:cs="Arial"/>
          <w:color w:val="auto"/>
        </w:rPr>
        <w:t xml:space="preserve">Componente 3: </w:t>
      </w:r>
      <w:r w:rsidR="006431D5">
        <w:rPr>
          <w:rFonts w:ascii="Arial" w:hAnsi="Arial" w:cs="Arial"/>
          <w:color w:val="auto"/>
        </w:rPr>
        <w:t>Fortalecimiento de la gestión de la información y del uso de nuevas tecnologías en salud</w:t>
      </w:r>
      <w:bookmarkEnd w:id="43"/>
    </w:p>
    <w:p w14:paraId="614C6615" w14:textId="6A583630" w:rsidR="004A4391" w:rsidRPr="00EE10BC" w:rsidRDefault="004A4391">
      <w:pPr>
        <w:rPr>
          <w:rFonts w:ascii="Arial" w:hAnsi="Arial" w:cs="Arial"/>
          <w:smallCaps/>
          <w:color w:val="000000"/>
          <w:sz w:val="20"/>
          <w:szCs w:val="20"/>
        </w:rPr>
      </w:pPr>
    </w:p>
    <w:p w14:paraId="61F56188" w14:textId="4BF18385" w:rsidR="00E22BB9" w:rsidRDefault="00E22BB9" w:rsidP="00AC0158">
      <w:pPr>
        <w:jc w:val="both"/>
        <w:rPr>
          <w:rFonts w:ascii="Arial" w:hAnsi="Arial" w:cs="Arial"/>
          <w:sz w:val="22"/>
          <w:szCs w:val="22"/>
        </w:rPr>
      </w:pPr>
      <w:r w:rsidRPr="00EE10BC">
        <w:rPr>
          <w:rFonts w:ascii="Arial" w:hAnsi="Arial" w:cs="Arial"/>
          <w:sz w:val="22"/>
          <w:szCs w:val="22"/>
        </w:rPr>
        <w:t xml:space="preserve">El costo de programa del componente </w:t>
      </w:r>
      <w:r w:rsidR="00513CB7" w:rsidRPr="00EE10BC">
        <w:rPr>
          <w:rFonts w:ascii="Arial" w:hAnsi="Arial" w:cs="Arial"/>
          <w:sz w:val="22"/>
          <w:szCs w:val="22"/>
        </w:rPr>
        <w:t>3</w:t>
      </w:r>
      <w:r w:rsidRPr="00EE10BC">
        <w:rPr>
          <w:rFonts w:ascii="Arial" w:hAnsi="Arial" w:cs="Arial"/>
          <w:sz w:val="22"/>
          <w:szCs w:val="22"/>
        </w:rPr>
        <w:t xml:space="preserve"> asciende </w:t>
      </w:r>
      <w:r w:rsidRPr="00AF22DF">
        <w:rPr>
          <w:rFonts w:ascii="Arial" w:hAnsi="Arial" w:cs="Arial"/>
          <w:sz w:val="22"/>
          <w:szCs w:val="22"/>
        </w:rPr>
        <w:t>a US$</w:t>
      </w:r>
      <w:r w:rsidR="00AF22DF" w:rsidRPr="00AF22DF">
        <w:rPr>
          <w:rFonts w:ascii="Arial" w:hAnsi="Arial" w:cs="Arial"/>
          <w:sz w:val="22"/>
          <w:szCs w:val="22"/>
        </w:rPr>
        <w:t>1</w:t>
      </w:r>
      <w:r w:rsidR="00510514">
        <w:rPr>
          <w:rFonts w:ascii="Arial" w:hAnsi="Arial" w:cs="Arial"/>
          <w:sz w:val="22"/>
          <w:szCs w:val="22"/>
        </w:rPr>
        <w:t>0</w:t>
      </w:r>
      <w:r w:rsidRPr="00AF22DF">
        <w:rPr>
          <w:rFonts w:ascii="Arial" w:hAnsi="Arial" w:cs="Arial"/>
          <w:sz w:val="22"/>
          <w:szCs w:val="22"/>
        </w:rPr>
        <w:t xml:space="preserve"> millones. El horizonte temporal del análisis económico comprende de 202</w:t>
      </w:r>
      <w:r w:rsidR="009500C3" w:rsidRPr="00AF22DF">
        <w:rPr>
          <w:rFonts w:ascii="Arial" w:hAnsi="Arial" w:cs="Arial"/>
          <w:sz w:val="22"/>
          <w:szCs w:val="22"/>
        </w:rPr>
        <w:t>2</w:t>
      </w:r>
      <w:r w:rsidRPr="00AF22DF">
        <w:rPr>
          <w:rFonts w:ascii="Arial" w:hAnsi="Arial" w:cs="Arial"/>
          <w:sz w:val="22"/>
          <w:szCs w:val="22"/>
        </w:rPr>
        <w:t xml:space="preserve"> a 202</w:t>
      </w:r>
      <w:r w:rsidR="009500C3" w:rsidRPr="00AF22DF">
        <w:rPr>
          <w:rFonts w:ascii="Arial" w:hAnsi="Arial" w:cs="Arial"/>
          <w:sz w:val="22"/>
          <w:szCs w:val="22"/>
        </w:rPr>
        <w:t>7</w:t>
      </w:r>
      <w:r w:rsidRPr="00AF22DF">
        <w:rPr>
          <w:rFonts w:ascii="Arial" w:hAnsi="Arial" w:cs="Arial"/>
          <w:sz w:val="22"/>
          <w:szCs w:val="22"/>
        </w:rPr>
        <w:t>. Adicionalmente a los</w:t>
      </w:r>
      <w:r w:rsidRPr="00EE10BC">
        <w:rPr>
          <w:rFonts w:ascii="Arial" w:hAnsi="Arial" w:cs="Arial"/>
          <w:sz w:val="22"/>
          <w:szCs w:val="22"/>
        </w:rPr>
        <w:t xml:space="preserve"> costos de</w:t>
      </w:r>
      <w:r w:rsidR="007E50C6">
        <w:rPr>
          <w:rFonts w:ascii="Arial" w:hAnsi="Arial" w:cs="Arial"/>
          <w:sz w:val="22"/>
          <w:szCs w:val="22"/>
        </w:rPr>
        <w:t>l f</w:t>
      </w:r>
      <w:r w:rsidR="007E50C6" w:rsidRPr="007E50C6">
        <w:rPr>
          <w:rFonts w:ascii="Arial" w:hAnsi="Arial" w:cs="Arial"/>
          <w:sz w:val="22"/>
          <w:szCs w:val="22"/>
        </w:rPr>
        <w:t>ortalecim</w:t>
      </w:r>
      <w:r w:rsidR="00C25790">
        <w:rPr>
          <w:rFonts w:ascii="Arial" w:hAnsi="Arial" w:cs="Arial"/>
          <w:sz w:val="22"/>
          <w:szCs w:val="22"/>
        </w:rPr>
        <w:t>i</w:t>
      </w:r>
      <w:r w:rsidR="007E50C6" w:rsidRPr="007E50C6">
        <w:rPr>
          <w:rFonts w:ascii="Arial" w:hAnsi="Arial" w:cs="Arial"/>
          <w:sz w:val="22"/>
          <w:szCs w:val="22"/>
        </w:rPr>
        <w:t>ento de la gestión de la información y del uso de nuevas tecnologías en salud</w:t>
      </w:r>
      <w:r w:rsidRPr="00EE10BC">
        <w:rPr>
          <w:rFonts w:ascii="Arial" w:eastAsiaTheme="minorHAnsi" w:hAnsi="Arial" w:cs="Arial"/>
          <w:b/>
          <w:bCs/>
          <w:sz w:val="22"/>
          <w:szCs w:val="22"/>
        </w:rPr>
        <w:t xml:space="preserve">, </w:t>
      </w:r>
      <w:r w:rsidRPr="00EE10BC">
        <w:rPr>
          <w:rFonts w:ascii="Arial" w:hAnsi="Arial" w:cs="Arial"/>
          <w:sz w:val="22"/>
          <w:szCs w:val="22"/>
        </w:rPr>
        <w:t xml:space="preserve">se deben incorporar </w:t>
      </w:r>
      <w:r w:rsidR="006A6B06" w:rsidRPr="00EE10BC">
        <w:rPr>
          <w:rFonts w:ascii="Arial" w:hAnsi="Arial" w:cs="Arial"/>
          <w:sz w:val="22"/>
          <w:szCs w:val="22"/>
        </w:rPr>
        <w:t>posibles</w:t>
      </w:r>
      <w:r w:rsidRPr="00EE10BC">
        <w:rPr>
          <w:rFonts w:ascii="Arial" w:hAnsi="Arial" w:cs="Arial"/>
          <w:sz w:val="22"/>
          <w:szCs w:val="22"/>
        </w:rPr>
        <w:t xml:space="preserve"> costos operativos y costos de oportunidad</w:t>
      </w:r>
      <w:r w:rsidR="006A6B06" w:rsidRPr="00EE10BC">
        <w:rPr>
          <w:rFonts w:ascii="Arial" w:hAnsi="Arial" w:cs="Arial"/>
          <w:sz w:val="22"/>
          <w:szCs w:val="22"/>
        </w:rPr>
        <w:t xml:space="preserve">. De forma conservadora, suponemos que la adquisición de equipos, vacunas, unidades de atención móviles, y la </w:t>
      </w:r>
      <w:r w:rsidR="006A6B06" w:rsidRPr="00AF22DF">
        <w:rPr>
          <w:rFonts w:ascii="Arial" w:hAnsi="Arial" w:cs="Arial"/>
          <w:sz w:val="22"/>
          <w:szCs w:val="22"/>
        </w:rPr>
        <w:t xml:space="preserve">implantación de centro logístico de almacenaje puede llegar a aumentar los costos del programa en un </w:t>
      </w:r>
      <w:r w:rsidR="00243C16" w:rsidRPr="00AF22DF">
        <w:rPr>
          <w:rFonts w:ascii="Arial" w:hAnsi="Arial" w:cs="Arial"/>
          <w:sz w:val="22"/>
          <w:szCs w:val="22"/>
        </w:rPr>
        <w:t>1</w:t>
      </w:r>
      <w:r w:rsidR="006F1F26">
        <w:rPr>
          <w:rFonts w:ascii="Arial" w:hAnsi="Arial" w:cs="Arial"/>
          <w:sz w:val="22"/>
          <w:szCs w:val="22"/>
        </w:rPr>
        <w:t>5</w:t>
      </w:r>
      <w:r w:rsidR="006A6B06" w:rsidRPr="00AF22DF">
        <w:rPr>
          <w:rFonts w:ascii="Arial" w:hAnsi="Arial" w:cs="Arial"/>
          <w:sz w:val="22"/>
          <w:szCs w:val="22"/>
        </w:rPr>
        <w:t xml:space="preserve">%. </w:t>
      </w:r>
      <w:r w:rsidR="001276B9" w:rsidRPr="00AF22DF">
        <w:rPr>
          <w:rFonts w:ascii="Arial" w:hAnsi="Arial" w:cs="Arial"/>
          <w:sz w:val="22"/>
          <w:szCs w:val="22"/>
        </w:rPr>
        <w:t>En</w:t>
      </w:r>
      <w:r w:rsidR="001276B9" w:rsidRPr="00EE10BC">
        <w:rPr>
          <w:rFonts w:ascii="Arial" w:hAnsi="Arial" w:cs="Arial"/>
          <w:sz w:val="22"/>
          <w:szCs w:val="22"/>
        </w:rPr>
        <w:t xml:space="preserve"> este escenario, e</w:t>
      </w:r>
      <w:r w:rsidRPr="00EE10BC">
        <w:rPr>
          <w:rFonts w:ascii="Arial" w:hAnsi="Arial" w:cs="Arial"/>
          <w:sz w:val="22"/>
          <w:szCs w:val="22"/>
        </w:rPr>
        <w:t xml:space="preserve">l costo operativo estimado es </w:t>
      </w:r>
      <w:r w:rsidRPr="002C740D">
        <w:rPr>
          <w:rFonts w:ascii="Arial" w:hAnsi="Arial" w:cs="Arial"/>
          <w:sz w:val="22"/>
          <w:szCs w:val="22"/>
        </w:rPr>
        <w:t>alrededor de $</w:t>
      </w:r>
      <w:r w:rsidR="004B39ED" w:rsidRPr="002C740D">
        <w:rPr>
          <w:rFonts w:ascii="Arial" w:hAnsi="Arial" w:cs="Arial"/>
          <w:sz w:val="22"/>
          <w:szCs w:val="22"/>
        </w:rPr>
        <w:t>1</w:t>
      </w:r>
      <w:r w:rsidR="00335DC2" w:rsidRPr="002C740D">
        <w:rPr>
          <w:rFonts w:ascii="Arial" w:hAnsi="Arial" w:cs="Arial"/>
          <w:sz w:val="22"/>
          <w:szCs w:val="22"/>
        </w:rPr>
        <w:t>.</w:t>
      </w:r>
      <w:r w:rsidR="00FB34D1">
        <w:rPr>
          <w:rFonts w:ascii="Arial" w:hAnsi="Arial" w:cs="Arial"/>
          <w:sz w:val="22"/>
          <w:szCs w:val="22"/>
        </w:rPr>
        <w:t>4</w:t>
      </w:r>
      <w:r w:rsidRPr="002C740D">
        <w:rPr>
          <w:rFonts w:ascii="Arial" w:hAnsi="Arial" w:cs="Arial"/>
          <w:sz w:val="22"/>
          <w:szCs w:val="22"/>
        </w:rPr>
        <w:t xml:space="preserve"> millones de</w:t>
      </w:r>
      <w:r w:rsidRPr="00EE10BC">
        <w:rPr>
          <w:rFonts w:ascii="Arial" w:hAnsi="Arial" w:cs="Arial"/>
          <w:sz w:val="22"/>
          <w:szCs w:val="22"/>
        </w:rPr>
        <w:t xml:space="preserve"> dólares durante</w:t>
      </w:r>
      <w:r w:rsidRPr="00210A53">
        <w:rPr>
          <w:rFonts w:ascii="Arial" w:hAnsi="Arial" w:cs="Arial"/>
          <w:sz w:val="22"/>
          <w:szCs w:val="22"/>
        </w:rPr>
        <w:t xml:space="preserve"> los cinco años de ejecución del programa. </w:t>
      </w:r>
      <w:r w:rsidR="00AC0158">
        <w:rPr>
          <w:rFonts w:ascii="Arial" w:hAnsi="Arial" w:cs="Arial"/>
          <w:sz w:val="22"/>
          <w:szCs w:val="22"/>
        </w:rPr>
        <w:t>Se considera también</w:t>
      </w:r>
      <w:r w:rsidRPr="00210A53">
        <w:rPr>
          <w:rFonts w:ascii="Arial" w:hAnsi="Arial" w:cs="Arial"/>
          <w:sz w:val="22"/>
          <w:szCs w:val="22"/>
        </w:rPr>
        <w:t xml:space="preserve"> un vector de gradualidad regular, un escenario </w:t>
      </w:r>
      <w:r w:rsidR="00AC0158">
        <w:rPr>
          <w:rFonts w:ascii="Arial" w:hAnsi="Arial" w:cs="Arial"/>
          <w:sz w:val="22"/>
          <w:szCs w:val="22"/>
        </w:rPr>
        <w:t>de muertes prevenibles similar a municipios con una población similar</w:t>
      </w:r>
      <w:r w:rsidRPr="00210A53">
        <w:rPr>
          <w:rFonts w:ascii="Arial" w:hAnsi="Arial" w:cs="Arial"/>
          <w:sz w:val="22"/>
          <w:szCs w:val="22"/>
        </w:rPr>
        <w:t xml:space="preserve"> y se utiliza una tasa de descuento de 3%. En este escenario, la razón costo beneficio se define de la siguiente manera:</w:t>
      </w:r>
    </w:p>
    <w:p w14:paraId="019AB966" w14:textId="77777777" w:rsidR="00AC0158" w:rsidRPr="00210A53" w:rsidRDefault="00AC0158" w:rsidP="00AC0158">
      <w:pPr>
        <w:jc w:val="both"/>
        <w:rPr>
          <w:rFonts w:ascii="Arial" w:hAnsi="Arial" w:cs="Arial"/>
          <w:sz w:val="22"/>
          <w:szCs w:val="22"/>
        </w:rPr>
      </w:pPr>
    </w:p>
    <w:p w14:paraId="425969B8" w14:textId="2D853147" w:rsidR="00A63065" w:rsidRPr="002C740D" w:rsidRDefault="00E22BB9" w:rsidP="00A63065">
      <w:pPr>
        <w:pStyle w:val="ColorfulList-Accent110"/>
        <w:numPr>
          <w:ilvl w:val="0"/>
          <w:numId w:val="2"/>
        </w:numPr>
        <w:spacing w:before="120" w:after="100" w:afterAutospacing="1"/>
        <w:rPr>
          <w:rFonts w:ascii="Arial" w:hAnsi="Arial" w:cs="Arial"/>
          <w:lang w:val="es-419"/>
        </w:rPr>
      </w:pPr>
      <w:r w:rsidRPr="002C740D">
        <w:rPr>
          <w:rFonts w:ascii="Arial" w:hAnsi="Arial" w:cs="Arial"/>
          <w:lang w:val="es-419"/>
        </w:rPr>
        <w:t>Costo del programa: US$</w:t>
      </w:r>
      <w:r w:rsidR="00BA785D">
        <w:rPr>
          <w:rFonts w:ascii="Arial" w:hAnsi="Arial" w:cs="Arial"/>
          <w:lang w:val="es-419"/>
        </w:rPr>
        <w:t>9</w:t>
      </w:r>
      <w:r w:rsidR="002C740D" w:rsidRPr="002C740D">
        <w:rPr>
          <w:rFonts w:ascii="Arial" w:hAnsi="Arial" w:cs="Arial"/>
          <w:lang w:val="es-419"/>
        </w:rPr>
        <w:t>.</w:t>
      </w:r>
      <w:r w:rsidR="00BA785D">
        <w:rPr>
          <w:rFonts w:ascii="Arial" w:hAnsi="Arial" w:cs="Arial"/>
          <w:lang w:val="es-419"/>
        </w:rPr>
        <w:t>295</w:t>
      </w:r>
      <w:r w:rsidR="002C740D" w:rsidRPr="002C740D">
        <w:rPr>
          <w:rFonts w:ascii="Arial" w:hAnsi="Arial" w:cs="Arial"/>
          <w:lang w:val="es-419"/>
        </w:rPr>
        <w:t>.000</w:t>
      </w:r>
    </w:p>
    <w:p w14:paraId="5AA32758" w14:textId="79504489" w:rsidR="00E22BB9" w:rsidRPr="002C740D" w:rsidRDefault="00E22BB9" w:rsidP="556FAFAE">
      <w:pPr>
        <w:pStyle w:val="ColorfulList-Accent110"/>
        <w:numPr>
          <w:ilvl w:val="0"/>
          <w:numId w:val="2"/>
        </w:numPr>
        <w:spacing w:before="120" w:after="100" w:afterAutospacing="1"/>
        <w:rPr>
          <w:rFonts w:ascii="Arial" w:hAnsi="Arial" w:cs="Arial"/>
          <w:lang w:val="es-419"/>
        </w:rPr>
      </w:pPr>
      <w:r w:rsidRPr="002C740D">
        <w:rPr>
          <w:rFonts w:ascii="Arial" w:hAnsi="Arial" w:cs="Arial"/>
          <w:lang w:val="es-419"/>
        </w:rPr>
        <w:t>Costos operativos: US$</w:t>
      </w:r>
      <w:r w:rsidR="004B39ED" w:rsidRPr="002C740D">
        <w:rPr>
          <w:rFonts w:ascii="Arial" w:hAnsi="Arial" w:cs="Arial"/>
          <w:lang w:val="es-419"/>
        </w:rPr>
        <w:t>1.</w:t>
      </w:r>
      <w:r w:rsidR="00BA785D">
        <w:rPr>
          <w:rFonts w:ascii="Arial" w:hAnsi="Arial" w:cs="Arial"/>
          <w:lang w:val="es-419"/>
        </w:rPr>
        <w:t>394</w:t>
      </w:r>
      <w:r w:rsidR="002C740D" w:rsidRPr="002C740D">
        <w:rPr>
          <w:rFonts w:ascii="Arial" w:hAnsi="Arial" w:cs="Arial"/>
          <w:lang w:val="es-419"/>
        </w:rPr>
        <w:t>.</w:t>
      </w:r>
      <w:r w:rsidR="00BA785D">
        <w:rPr>
          <w:rFonts w:ascii="Arial" w:hAnsi="Arial" w:cs="Arial"/>
          <w:lang w:val="es-419"/>
        </w:rPr>
        <w:t>25</w:t>
      </w:r>
      <w:r w:rsidR="002C740D" w:rsidRPr="002C740D">
        <w:rPr>
          <w:rFonts w:ascii="Arial" w:hAnsi="Arial" w:cs="Arial"/>
          <w:lang w:val="es-419"/>
        </w:rPr>
        <w:t>0</w:t>
      </w:r>
    </w:p>
    <w:p w14:paraId="4029460B" w14:textId="17517AEE" w:rsidR="00E22BB9" w:rsidRPr="002C740D" w:rsidRDefault="00E22BB9" w:rsidP="00E22BB9">
      <w:pPr>
        <w:pStyle w:val="ColorfulList-Accent110"/>
        <w:numPr>
          <w:ilvl w:val="0"/>
          <w:numId w:val="2"/>
        </w:numPr>
        <w:spacing w:before="120" w:after="100" w:afterAutospacing="1"/>
        <w:rPr>
          <w:rFonts w:ascii="Arial" w:hAnsi="Arial" w:cs="Arial"/>
          <w:b/>
          <w:bCs/>
          <w:lang w:val="es-419"/>
        </w:rPr>
      </w:pPr>
      <w:r w:rsidRPr="002C740D">
        <w:rPr>
          <w:rFonts w:ascii="Arial" w:hAnsi="Arial" w:cs="Arial"/>
          <w:lang w:val="es-419"/>
        </w:rPr>
        <w:t>Costo total del programa: US$</w:t>
      </w:r>
      <w:r w:rsidR="00A63065" w:rsidRPr="002C740D">
        <w:rPr>
          <w:rFonts w:ascii="Arial" w:hAnsi="Arial" w:cs="Arial"/>
          <w:lang w:val="es-419"/>
        </w:rPr>
        <w:t>1</w:t>
      </w:r>
      <w:r w:rsidR="004B39ED" w:rsidRPr="002C740D">
        <w:rPr>
          <w:rFonts w:ascii="Arial" w:hAnsi="Arial" w:cs="Arial"/>
          <w:lang w:val="es-419"/>
        </w:rPr>
        <w:t>0.</w:t>
      </w:r>
      <w:r w:rsidR="00BA785D">
        <w:rPr>
          <w:rFonts w:ascii="Arial" w:hAnsi="Arial" w:cs="Arial"/>
          <w:lang w:val="es-419"/>
        </w:rPr>
        <w:t>689</w:t>
      </w:r>
      <w:r w:rsidR="002C740D" w:rsidRPr="002C740D">
        <w:rPr>
          <w:rFonts w:ascii="Arial" w:hAnsi="Arial" w:cs="Arial"/>
          <w:lang w:val="es-419"/>
        </w:rPr>
        <w:t>.</w:t>
      </w:r>
      <w:r w:rsidR="00BA785D">
        <w:rPr>
          <w:rFonts w:ascii="Arial" w:hAnsi="Arial" w:cs="Arial"/>
          <w:lang w:val="es-419"/>
        </w:rPr>
        <w:t>2</w:t>
      </w:r>
      <w:r w:rsidR="002C740D" w:rsidRPr="002C740D">
        <w:rPr>
          <w:rFonts w:ascii="Arial" w:hAnsi="Arial" w:cs="Arial"/>
          <w:lang w:val="es-419"/>
        </w:rPr>
        <w:t>50</w:t>
      </w:r>
    </w:p>
    <w:p w14:paraId="0A70DD21" w14:textId="16C5D7B7" w:rsidR="00E22BB9" w:rsidRPr="002C740D" w:rsidRDefault="00E22BB9" w:rsidP="00E22BB9">
      <w:pPr>
        <w:pStyle w:val="ColorfulList-Accent110"/>
        <w:numPr>
          <w:ilvl w:val="0"/>
          <w:numId w:val="2"/>
        </w:numPr>
        <w:spacing w:before="120" w:after="100" w:afterAutospacing="1"/>
        <w:rPr>
          <w:rFonts w:ascii="Arial" w:hAnsi="Arial" w:cs="Arial"/>
          <w:b/>
          <w:bCs/>
          <w:lang w:val="es-419"/>
        </w:rPr>
      </w:pPr>
      <w:r w:rsidRPr="002C740D">
        <w:rPr>
          <w:rFonts w:ascii="Arial" w:hAnsi="Arial" w:cs="Arial"/>
          <w:lang w:val="es-419"/>
        </w:rPr>
        <w:t>Beneficios del programa a 202</w:t>
      </w:r>
      <w:r w:rsidR="004B39ED" w:rsidRPr="002C740D">
        <w:rPr>
          <w:rFonts w:ascii="Arial" w:hAnsi="Arial" w:cs="Arial"/>
          <w:lang w:val="es-419"/>
        </w:rPr>
        <w:t>7</w:t>
      </w:r>
      <w:r w:rsidRPr="002C740D">
        <w:rPr>
          <w:rFonts w:ascii="Arial" w:hAnsi="Arial" w:cs="Arial"/>
          <w:lang w:val="es-419"/>
        </w:rPr>
        <w:t xml:space="preserve"> (tasa 3%): US$</w:t>
      </w:r>
      <w:r w:rsidR="002C740D" w:rsidRPr="002C740D">
        <w:rPr>
          <w:rFonts w:ascii="Arial" w:hAnsi="Arial" w:cs="Arial"/>
          <w:lang w:val="es-419"/>
        </w:rPr>
        <w:t>18.029.518</w:t>
      </w:r>
    </w:p>
    <w:p w14:paraId="26DFF941" w14:textId="1CA86612" w:rsidR="00E22BB9" w:rsidRPr="002C740D" w:rsidRDefault="00E22BB9" w:rsidP="00E22BB9">
      <w:pPr>
        <w:pStyle w:val="ColorfulList-Accent110"/>
        <w:numPr>
          <w:ilvl w:val="0"/>
          <w:numId w:val="2"/>
        </w:numPr>
        <w:spacing w:before="120" w:after="100" w:afterAutospacing="1" w:line="259" w:lineRule="auto"/>
        <w:rPr>
          <w:rFonts w:ascii="Arial" w:hAnsi="Arial" w:cs="Arial"/>
          <w:lang w:val="es-419"/>
        </w:rPr>
      </w:pPr>
      <w:r w:rsidRPr="002C740D">
        <w:rPr>
          <w:rFonts w:ascii="Arial" w:hAnsi="Arial" w:cs="Arial"/>
          <w:lang w:val="es-419"/>
        </w:rPr>
        <w:lastRenderedPageBreak/>
        <w:t>Beneficio neto: US$</w:t>
      </w:r>
      <w:r w:rsidR="00BA785D">
        <w:rPr>
          <w:rFonts w:ascii="Arial" w:hAnsi="Arial" w:cs="Arial"/>
          <w:lang w:val="es-419"/>
        </w:rPr>
        <w:t>7</w:t>
      </w:r>
      <w:r w:rsidR="002C740D" w:rsidRPr="002C740D">
        <w:rPr>
          <w:rFonts w:ascii="Arial" w:hAnsi="Arial" w:cs="Arial"/>
          <w:lang w:val="es-419"/>
        </w:rPr>
        <w:t>.</w:t>
      </w:r>
      <w:r w:rsidR="00BA785D">
        <w:rPr>
          <w:rFonts w:ascii="Arial" w:hAnsi="Arial" w:cs="Arial"/>
          <w:lang w:val="es-419"/>
        </w:rPr>
        <w:t>340</w:t>
      </w:r>
      <w:r w:rsidR="002C740D" w:rsidRPr="002C740D">
        <w:rPr>
          <w:rFonts w:ascii="Arial" w:hAnsi="Arial" w:cs="Arial"/>
          <w:lang w:val="es-419"/>
        </w:rPr>
        <w:t>.</w:t>
      </w:r>
      <w:r w:rsidR="00BA785D">
        <w:rPr>
          <w:rFonts w:ascii="Arial" w:hAnsi="Arial" w:cs="Arial"/>
          <w:lang w:val="es-419"/>
        </w:rPr>
        <w:t>2</w:t>
      </w:r>
      <w:r w:rsidR="002C740D" w:rsidRPr="002C740D">
        <w:rPr>
          <w:rFonts w:ascii="Arial" w:hAnsi="Arial" w:cs="Arial"/>
          <w:lang w:val="es-419"/>
        </w:rPr>
        <w:t>68</w:t>
      </w:r>
    </w:p>
    <w:p w14:paraId="796A0A47" w14:textId="10332F1C" w:rsidR="00E22BB9" w:rsidRPr="002C740D" w:rsidRDefault="00E22BB9" w:rsidP="00E22BB9">
      <w:pPr>
        <w:pStyle w:val="ColorfulList-Accent110"/>
        <w:numPr>
          <w:ilvl w:val="0"/>
          <w:numId w:val="2"/>
        </w:numPr>
        <w:spacing w:before="120" w:after="100" w:afterAutospacing="1"/>
        <w:jc w:val="both"/>
        <w:rPr>
          <w:rFonts w:ascii="Arial" w:hAnsi="Arial" w:cs="Arial"/>
          <w:lang w:val="es-419"/>
        </w:rPr>
      </w:pPr>
      <w:r w:rsidRPr="002C740D">
        <w:rPr>
          <w:rFonts w:ascii="Arial" w:hAnsi="Arial" w:cs="Arial"/>
          <w:lang w:val="es-419"/>
        </w:rPr>
        <w:t xml:space="preserve">Razón Beneficio / Costo = </w:t>
      </w:r>
      <w:r w:rsidR="004B39ED" w:rsidRPr="002C740D">
        <w:rPr>
          <w:rFonts w:ascii="Arial" w:hAnsi="Arial" w:cs="Arial"/>
          <w:lang w:val="es-419"/>
        </w:rPr>
        <w:t>1.</w:t>
      </w:r>
      <w:r w:rsidR="00BA785D">
        <w:rPr>
          <w:rFonts w:ascii="Arial" w:hAnsi="Arial" w:cs="Arial"/>
          <w:lang w:val="es-419"/>
        </w:rPr>
        <w:t>69</w:t>
      </w:r>
    </w:p>
    <w:p w14:paraId="7419338F" w14:textId="4D5E1C39" w:rsidR="00E22BB9" w:rsidRPr="00210AA7" w:rsidRDefault="00E22BB9" w:rsidP="00E22BB9">
      <w:pPr>
        <w:autoSpaceDE w:val="0"/>
        <w:autoSpaceDN w:val="0"/>
        <w:adjustRightInd w:val="0"/>
        <w:spacing w:before="120" w:after="100" w:afterAutospacing="1"/>
        <w:jc w:val="both"/>
        <w:rPr>
          <w:rFonts w:ascii="Arial" w:hAnsi="Arial" w:cs="Arial"/>
          <w:sz w:val="22"/>
          <w:szCs w:val="22"/>
        </w:rPr>
      </w:pPr>
      <w:r w:rsidRPr="00210A53">
        <w:rPr>
          <w:rFonts w:ascii="Arial" w:hAnsi="Arial" w:cs="Arial"/>
          <w:sz w:val="22"/>
          <w:szCs w:val="22"/>
        </w:rPr>
        <w:t xml:space="preserve">El análisis de sensibilidad de la razón costo beneficio resumido en la Tabla </w:t>
      </w:r>
      <w:r w:rsidR="00E938C7">
        <w:rPr>
          <w:rFonts w:ascii="Arial" w:hAnsi="Arial" w:cs="Arial"/>
          <w:sz w:val="22"/>
          <w:szCs w:val="22"/>
        </w:rPr>
        <w:t>12</w:t>
      </w:r>
      <w:r w:rsidRPr="00210A53">
        <w:rPr>
          <w:rFonts w:ascii="Arial" w:hAnsi="Arial" w:cs="Arial"/>
          <w:sz w:val="22"/>
          <w:szCs w:val="22"/>
        </w:rPr>
        <w:t xml:space="preserve"> muestra que en la mayoría de los escenarios estimados los beneficios del programa son mayores a los costos. Dada la evidencia </w:t>
      </w:r>
      <w:r w:rsidRPr="00210AA7">
        <w:rPr>
          <w:rFonts w:ascii="Arial" w:hAnsi="Arial" w:cs="Arial"/>
          <w:sz w:val="22"/>
          <w:szCs w:val="22"/>
        </w:rPr>
        <w:t>de los impactos potenciales, así como la coherencia de la intervención planteada, se considera que los escenarios con una razón entre el beneficio y el costo menor a uno son poco probables.</w:t>
      </w:r>
    </w:p>
    <w:p w14:paraId="05DBF934" w14:textId="6E006A29" w:rsidR="00E22BB9" w:rsidRPr="00210A53" w:rsidRDefault="00E22BB9" w:rsidP="00E22BB9">
      <w:pPr>
        <w:pStyle w:val="Caption"/>
      </w:pPr>
      <w:r w:rsidRPr="00210AA7">
        <w:t xml:space="preserve">Tabla </w:t>
      </w:r>
      <w:r w:rsidR="00E938C7" w:rsidRPr="00210AA7">
        <w:t>12</w:t>
      </w:r>
      <w:r w:rsidRPr="00210AA7">
        <w:t>. Análisis de sensibilidad de la razón beneficio/costo, periodo 202</w:t>
      </w:r>
      <w:r w:rsidR="005146D1" w:rsidRPr="00210AA7">
        <w:t>2</w:t>
      </w:r>
      <w:r w:rsidRPr="00210AA7">
        <w:t>-202</w:t>
      </w:r>
      <w:r w:rsidR="005146D1" w:rsidRPr="00210AA7">
        <w:t>7</w:t>
      </w:r>
    </w:p>
    <w:p w14:paraId="62F3E3EE" w14:textId="77777777" w:rsidR="00E22BB9" w:rsidRDefault="00E22BB9" w:rsidP="00E22BB9">
      <w:pPr>
        <w:keepNext/>
        <w:autoSpaceDE w:val="0"/>
        <w:autoSpaceDN w:val="0"/>
        <w:adjustRightInd w:val="0"/>
        <w:jc w:val="center"/>
        <w:rPr>
          <w:rFonts w:ascii="Arial" w:hAnsi="Arial" w:cs="Arial"/>
          <w:sz w:val="16"/>
          <w:szCs w:val="16"/>
        </w:rPr>
      </w:pPr>
    </w:p>
    <w:tbl>
      <w:tblPr>
        <w:tblW w:w="6745" w:type="dxa"/>
        <w:jc w:val="center"/>
        <w:tblLook w:val="04A0" w:firstRow="1" w:lastRow="0" w:firstColumn="1" w:lastColumn="0" w:noHBand="0" w:noVBand="1"/>
      </w:tblPr>
      <w:tblGrid>
        <w:gridCol w:w="1345"/>
        <w:gridCol w:w="1728"/>
        <w:gridCol w:w="985"/>
        <w:gridCol w:w="900"/>
        <w:gridCol w:w="810"/>
        <w:gridCol w:w="977"/>
      </w:tblGrid>
      <w:tr w:rsidR="00E22BB9" w:rsidRPr="007C4493" w14:paraId="25BB826E" w14:textId="77777777" w:rsidTr="00B31AD4">
        <w:trPr>
          <w:trHeight w:val="576"/>
          <w:tblHeader/>
          <w:jc w:val="center"/>
        </w:trPr>
        <w:tc>
          <w:tcPr>
            <w:tcW w:w="13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17C0976" w14:textId="77777777" w:rsidR="00E22BB9" w:rsidRPr="007C4493" w:rsidRDefault="00E22BB9" w:rsidP="00C014EC">
            <w:pPr>
              <w:jc w:val="center"/>
              <w:rPr>
                <w:rFonts w:ascii="Arial" w:hAnsi="Arial" w:cs="Arial"/>
                <w:b/>
                <w:bCs/>
                <w:color w:val="000000"/>
                <w:sz w:val="16"/>
                <w:szCs w:val="16"/>
              </w:rPr>
            </w:pPr>
            <w:r w:rsidRPr="007C4493">
              <w:rPr>
                <w:rFonts w:ascii="Arial" w:hAnsi="Arial" w:cs="Arial"/>
                <w:b/>
                <w:bCs/>
                <w:color w:val="000000"/>
                <w:sz w:val="16"/>
                <w:szCs w:val="16"/>
              </w:rPr>
              <w:t>Vectores de gradualidad</w:t>
            </w:r>
          </w:p>
        </w:tc>
        <w:tc>
          <w:tcPr>
            <w:tcW w:w="17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83D234" w14:textId="77777777" w:rsidR="00E22BB9" w:rsidRPr="007C4493" w:rsidRDefault="00E22BB9" w:rsidP="00C014EC">
            <w:pPr>
              <w:jc w:val="center"/>
              <w:rPr>
                <w:rFonts w:ascii="Arial" w:hAnsi="Arial" w:cs="Arial"/>
                <w:b/>
                <w:bCs/>
                <w:color w:val="000000"/>
                <w:sz w:val="16"/>
                <w:szCs w:val="16"/>
              </w:rPr>
            </w:pPr>
            <w:r w:rsidRPr="007C4493">
              <w:rPr>
                <w:rFonts w:ascii="Arial" w:hAnsi="Arial" w:cs="Arial"/>
                <w:b/>
                <w:bCs/>
                <w:color w:val="000000"/>
                <w:sz w:val="16"/>
                <w:szCs w:val="16"/>
              </w:rPr>
              <w:t>Escenarios de cobertura efectiva</w:t>
            </w:r>
          </w:p>
        </w:tc>
        <w:tc>
          <w:tcPr>
            <w:tcW w:w="3672"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223E2AB" w14:textId="77777777" w:rsidR="00E22BB9" w:rsidRPr="007C4493" w:rsidRDefault="00E22BB9" w:rsidP="00C014EC">
            <w:pPr>
              <w:jc w:val="center"/>
              <w:rPr>
                <w:rFonts w:ascii="Arial" w:hAnsi="Arial" w:cs="Arial"/>
                <w:b/>
                <w:bCs/>
                <w:color w:val="000000"/>
                <w:sz w:val="16"/>
                <w:szCs w:val="16"/>
              </w:rPr>
            </w:pPr>
            <w:r w:rsidRPr="007C4493">
              <w:rPr>
                <w:rFonts w:ascii="Arial" w:hAnsi="Arial" w:cs="Arial"/>
                <w:b/>
                <w:bCs/>
                <w:color w:val="000000"/>
                <w:sz w:val="16"/>
                <w:szCs w:val="16"/>
              </w:rPr>
              <w:t>Tasa de descuento</w:t>
            </w:r>
          </w:p>
        </w:tc>
      </w:tr>
      <w:tr w:rsidR="00E22BB9" w:rsidRPr="007C4493" w14:paraId="19A82A95" w14:textId="77777777" w:rsidTr="00B31AD4">
        <w:trPr>
          <w:trHeight w:val="288"/>
          <w:tblHeader/>
          <w:jc w:val="center"/>
        </w:trPr>
        <w:tc>
          <w:tcPr>
            <w:tcW w:w="1345" w:type="dxa"/>
            <w:vMerge/>
            <w:tcBorders>
              <w:top w:val="single" w:sz="4" w:space="0" w:color="auto"/>
              <w:left w:val="single" w:sz="4" w:space="0" w:color="auto"/>
              <w:bottom w:val="single" w:sz="4" w:space="0" w:color="000000"/>
              <w:right w:val="single" w:sz="4" w:space="0" w:color="auto"/>
            </w:tcBorders>
            <w:vAlign w:val="center"/>
            <w:hideMark/>
          </w:tcPr>
          <w:p w14:paraId="2587744E" w14:textId="77777777" w:rsidR="00E22BB9" w:rsidRPr="007C4493" w:rsidRDefault="00E22BB9" w:rsidP="00C014EC">
            <w:pPr>
              <w:rPr>
                <w:rFonts w:ascii="Arial" w:hAnsi="Arial" w:cs="Arial"/>
                <w:b/>
                <w:bCs/>
                <w:color w:val="000000"/>
                <w:sz w:val="16"/>
                <w:szCs w:val="16"/>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58858C9B" w14:textId="77777777" w:rsidR="00E22BB9" w:rsidRPr="007C4493" w:rsidRDefault="00E22BB9" w:rsidP="00C014EC">
            <w:pPr>
              <w:rPr>
                <w:rFonts w:ascii="Arial" w:hAnsi="Arial" w:cs="Arial"/>
                <w:b/>
                <w:bCs/>
                <w:color w:val="000000"/>
                <w:sz w:val="16"/>
                <w:szCs w:val="16"/>
              </w:rPr>
            </w:pPr>
          </w:p>
        </w:tc>
        <w:tc>
          <w:tcPr>
            <w:tcW w:w="985" w:type="dxa"/>
            <w:tcBorders>
              <w:top w:val="nil"/>
              <w:left w:val="nil"/>
              <w:bottom w:val="single" w:sz="4" w:space="0" w:color="auto"/>
              <w:right w:val="single" w:sz="4" w:space="0" w:color="auto"/>
            </w:tcBorders>
            <w:shd w:val="clear" w:color="000000" w:fill="EDEDED"/>
            <w:noWrap/>
            <w:vAlign w:val="center"/>
            <w:hideMark/>
          </w:tcPr>
          <w:p w14:paraId="166FFFF6" w14:textId="77777777" w:rsidR="00E22BB9" w:rsidRPr="007C4493" w:rsidRDefault="00E22BB9" w:rsidP="00C014EC">
            <w:pPr>
              <w:jc w:val="center"/>
              <w:rPr>
                <w:rFonts w:ascii="Arial" w:hAnsi="Arial" w:cs="Arial"/>
                <w:color w:val="000000"/>
                <w:sz w:val="16"/>
                <w:szCs w:val="16"/>
              </w:rPr>
            </w:pPr>
            <w:r w:rsidRPr="007C4493">
              <w:rPr>
                <w:rFonts w:ascii="Arial" w:hAnsi="Arial" w:cs="Arial"/>
                <w:color w:val="000000"/>
                <w:sz w:val="16"/>
                <w:szCs w:val="16"/>
              </w:rPr>
              <w:t>2%</w:t>
            </w:r>
          </w:p>
        </w:tc>
        <w:tc>
          <w:tcPr>
            <w:tcW w:w="900" w:type="dxa"/>
            <w:tcBorders>
              <w:top w:val="nil"/>
              <w:left w:val="nil"/>
              <w:bottom w:val="single" w:sz="4" w:space="0" w:color="auto"/>
              <w:right w:val="single" w:sz="4" w:space="0" w:color="auto"/>
            </w:tcBorders>
            <w:shd w:val="clear" w:color="000000" w:fill="EDEDED"/>
            <w:noWrap/>
            <w:vAlign w:val="center"/>
            <w:hideMark/>
          </w:tcPr>
          <w:p w14:paraId="61BB3830" w14:textId="77777777" w:rsidR="00E22BB9" w:rsidRPr="007C4493" w:rsidRDefault="00E22BB9" w:rsidP="00C014EC">
            <w:pPr>
              <w:jc w:val="center"/>
              <w:rPr>
                <w:rFonts w:ascii="Arial" w:hAnsi="Arial" w:cs="Arial"/>
                <w:color w:val="000000"/>
                <w:sz w:val="16"/>
                <w:szCs w:val="16"/>
              </w:rPr>
            </w:pPr>
            <w:r w:rsidRPr="007C4493">
              <w:rPr>
                <w:rFonts w:ascii="Arial" w:hAnsi="Arial" w:cs="Arial"/>
                <w:color w:val="000000"/>
                <w:sz w:val="16"/>
                <w:szCs w:val="16"/>
              </w:rPr>
              <w:t>3%</w:t>
            </w:r>
          </w:p>
        </w:tc>
        <w:tc>
          <w:tcPr>
            <w:tcW w:w="810" w:type="dxa"/>
            <w:tcBorders>
              <w:top w:val="nil"/>
              <w:left w:val="nil"/>
              <w:bottom w:val="single" w:sz="4" w:space="0" w:color="auto"/>
              <w:right w:val="single" w:sz="4" w:space="0" w:color="auto"/>
            </w:tcBorders>
            <w:shd w:val="clear" w:color="000000" w:fill="EDEDED"/>
            <w:noWrap/>
            <w:vAlign w:val="center"/>
            <w:hideMark/>
          </w:tcPr>
          <w:p w14:paraId="66676FA3" w14:textId="77777777" w:rsidR="00E22BB9" w:rsidRPr="007C4493" w:rsidRDefault="00E22BB9" w:rsidP="00C014EC">
            <w:pPr>
              <w:jc w:val="center"/>
              <w:rPr>
                <w:rFonts w:ascii="Arial" w:hAnsi="Arial" w:cs="Arial"/>
                <w:color w:val="000000"/>
                <w:sz w:val="16"/>
                <w:szCs w:val="16"/>
              </w:rPr>
            </w:pPr>
            <w:r w:rsidRPr="007C4493">
              <w:rPr>
                <w:rFonts w:ascii="Arial" w:hAnsi="Arial" w:cs="Arial"/>
                <w:color w:val="000000"/>
                <w:sz w:val="16"/>
                <w:szCs w:val="16"/>
              </w:rPr>
              <w:t>6%</w:t>
            </w:r>
          </w:p>
        </w:tc>
        <w:tc>
          <w:tcPr>
            <w:tcW w:w="977" w:type="dxa"/>
            <w:tcBorders>
              <w:top w:val="nil"/>
              <w:left w:val="nil"/>
              <w:bottom w:val="single" w:sz="4" w:space="0" w:color="auto"/>
              <w:right w:val="single" w:sz="4" w:space="0" w:color="auto"/>
            </w:tcBorders>
            <w:shd w:val="clear" w:color="000000" w:fill="EDEDED"/>
            <w:noWrap/>
            <w:vAlign w:val="center"/>
            <w:hideMark/>
          </w:tcPr>
          <w:p w14:paraId="2932B721" w14:textId="77777777" w:rsidR="00E22BB9" w:rsidRPr="007C4493" w:rsidRDefault="00E22BB9" w:rsidP="00C014EC">
            <w:pPr>
              <w:jc w:val="center"/>
              <w:rPr>
                <w:rFonts w:ascii="Arial" w:hAnsi="Arial" w:cs="Arial"/>
                <w:color w:val="000000"/>
                <w:sz w:val="16"/>
                <w:szCs w:val="16"/>
              </w:rPr>
            </w:pPr>
            <w:r w:rsidRPr="007C4493">
              <w:rPr>
                <w:rFonts w:ascii="Arial" w:hAnsi="Arial" w:cs="Arial"/>
                <w:color w:val="000000"/>
                <w:sz w:val="16"/>
                <w:szCs w:val="16"/>
              </w:rPr>
              <w:t>9%</w:t>
            </w:r>
          </w:p>
        </w:tc>
      </w:tr>
      <w:tr w:rsidR="00820A13" w:rsidRPr="007C4493" w14:paraId="3683C0CA"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63765571" w14:textId="77777777" w:rsidR="00820A13" w:rsidRPr="007C4493" w:rsidRDefault="00820A13" w:rsidP="00820A13">
            <w:pPr>
              <w:jc w:val="center"/>
              <w:rPr>
                <w:rFonts w:ascii="Arial" w:hAnsi="Arial" w:cs="Arial"/>
                <w:color w:val="000000"/>
                <w:sz w:val="16"/>
                <w:szCs w:val="16"/>
              </w:rPr>
            </w:pPr>
            <w:r w:rsidRPr="007C4493">
              <w:rPr>
                <w:rFonts w:ascii="Arial" w:hAnsi="Arial" w:cs="Arial"/>
                <w:color w:val="000000"/>
                <w:sz w:val="16"/>
                <w:szCs w:val="16"/>
              </w:rPr>
              <w:t>Lento</w:t>
            </w:r>
          </w:p>
        </w:tc>
        <w:tc>
          <w:tcPr>
            <w:tcW w:w="1728" w:type="dxa"/>
            <w:tcBorders>
              <w:top w:val="nil"/>
              <w:left w:val="nil"/>
              <w:bottom w:val="single" w:sz="4" w:space="0" w:color="auto"/>
              <w:right w:val="single" w:sz="4" w:space="0" w:color="auto"/>
            </w:tcBorders>
            <w:shd w:val="clear" w:color="000000" w:fill="FFFFFF"/>
            <w:noWrap/>
            <w:vAlign w:val="center"/>
            <w:hideMark/>
          </w:tcPr>
          <w:p w14:paraId="4DB8BC8C" w14:textId="77777777" w:rsidR="00820A13" w:rsidRPr="007C4493" w:rsidRDefault="00820A13" w:rsidP="00820A13">
            <w:pPr>
              <w:rPr>
                <w:rFonts w:ascii="Arial" w:hAnsi="Arial" w:cs="Arial"/>
                <w:color w:val="000000"/>
                <w:sz w:val="16"/>
                <w:szCs w:val="16"/>
              </w:rPr>
            </w:pPr>
            <w:r w:rsidRPr="007C4493">
              <w:rPr>
                <w:rFonts w:ascii="Arial" w:hAnsi="Arial" w:cs="Arial"/>
                <w:color w:val="000000"/>
                <w:sz w:val="16"/>
                <w:szCs w:val="16"/>
              </w:rPr>
              <w:t>Pesimista</w:t>
            </w:r>
          </w:p>
        </w:tc>
        <w:tc>
          <w:tcPr>
            <w:tcW w:w="9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26214C" w14:textId="35A87461"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0,91</w:t>
            </w:r>
          </w:p>
        </w:tc>
        <w:tc>
          <w:tcPr>
            <w:tcW w:w="900" w:type="dxa"/>
            <w:tcBorders>
              <w:top w:val="single" w:sz="4" w:space="0" w:color="auto"/>
              <w:left w:val="nil"/>
              <w:bottom w:val="single" w:sz="4" w:space="0" w:color="auto"/>
              <w:right w:val="single" w:sz="4" w:space="0" w:color="auto"/>
            </w:tcBorders>
            <w:shd w:val="clear" w:color="000000" w:fill="FFFFFF"/>
            <w:noWrap/>
            <w:vAlign w:val="center"/>
            <w:hideMark/>
          </w:tcPr>
          <w:p w14:paraId="28D843AB" w14:textId="0DCA30E4"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0,88</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14:paraId="0BA8AF8C" w14:textId="5B81BE24"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0,78</w:t>
            </w:r>
          </w:p>
        </w:tc>
        <w:tc>
          <w:tcPr>
            <w:tcW w:w="977" w:type="dxa"/>
            <w:tcBorders>
              <w:top w:val="single" w:sz="4" w:space="0" w:color="auto"/>
              <w:left w:val="nil"/>
              <w:bottom w:val="single" w:sz="4" w:space="0" w:color="auto"/>
              <w:right w:val="single" w:sz="4" w:space="0" w:color="auto"/>
            </w:tcBorders>
            <w:shd w:val="clear" w:color="000000" w:fill="FFFFFF"/>
            <w:noWrap/>
            <w:vAlign w:val="center"/>
            <w:hideMark/>
          </w:tcPr>
          <w:p w14:paraId="616338B7" w14:textId="0D0E5BAE"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0,70</w:t>
            </w:r>
          </w:p>
        </w:tc>
      </w:tr>
      <w:tr w:rsidR="00820A13" w:rsidRPr="007C4493" w14:paraId="22630848"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7787C5F8" w14:textId="77777777" w:rsidR="00820A13" w:rsidRPr="007C4493" w:rsidRDefault="00820A13" w:rsidP="00820A13">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2EC2AAF7" w14:textId="77777777" w:rsidR="00820A13" w:rsidRPr="007C4493" w:rsidRDefault="00820A13" w:rsidP="00820A13">
            <w:pPr>
              <w:rPr>
                <w:rFonts w:ascii="Arial" w:hAnsi="Arial" w:cs="Arial"/>
                <w:color w:val="000000"/>
                <w:sz w:val="16"/>
                <w:szCs w:val="16"/>
              </w:rPr>
            </w:pPr>
            <w:r w:rsidRPr="007C4493">
              <w:rPr>
                <w:rFonts w:ascii="Arial" w:hAnsi="Arial" w:cs="Arial"/>
                <w:color w:val="000000"/>
                <w:sz w:val="16"/>
                <w:szCs w:val="16"/>
              </w:rPr>
              <w:t>Medio</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D25808C" w14:textId="79A80080"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1,28</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2C16B41" w14:textId="494F843E"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1,23</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13C61C5" w14:textId="79EDAA23"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1,09</w:t>
            </w:r>
          </w:p>
        </w:tc>
        <w:tc>
          <w:tcPr>
            <w:tcW w:w="977" w:type="dxa"/>
            <w:tcBorders>
              <w:top w:val="nil"/>
              <w:left w:val="nil"/>
              <w:bottom w:val="single" w:sz="4" w:space="0" w:color="auto"/>
              <w:right w:val="single" w:sz="4" w:space="0" w:color="auto"/>
            </w:tcBorders>
            <w:shd w:val="clear" w:color="000000" w:fill="FFFFFF"/>
            <w:noWrap/>
            <w:vAlign w:val="center"/>
            <w:hideMark/>
          </w:tcPr>
          <w:p w14:paraId="347FB582" w14:textId="2D3DF343"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0,98</w:t>
            </w:r>
          </w:p>
        </w:tc>
      </w:tr>
      <w:tr w:rsidR="00820A13" w:rsidRPr="007C4493" w14:paraId="0E1BF1F4" w14:textId="77777777" w:rsidTr="00C014EC">
        <w:trPr>
          <w:trHeight w:val="288"/>
          <w:jc w:val="center"/>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4C4173A5" w14:textId="77777777" w:rsidR="00820A13" w:rsidRPr="007C4493" w:rsidRDefault="00820A13" w:rsidP="00820A13">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05FE5158" w14:textId="77777777" w:rsidR="00820A13" w:rsidRPr="007C4493" w:rsidRDefault="00820A13" w:rsidP="00820A13">
            <w:pPr>
              <w:rPr>
                <w:rFonts w:ascii="Arial" w:hAnsi="Arial" w:cs="Arial"/>
                <w:color w:val="000000"/>
                <w:sz w:val="16"/>
                <w:szCs w:val="16"/>
              </w:rPr>
            </w:pPr>
            <w:r w:rsidRPr="007C4493">
              <w:rPr>
                <w:rFonts w:ascii="Arial" w:hAnsi="Arial" w:cs="Arial"/>
                <w:color w:val="000000"/>
                <w:sz w:val="16"/>
                <w:szCs w:val="16"/>
              </w:rPr>
              <w:t>Optimista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8834CA0" w14:textId="6442182B"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1,64</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01F5DAF" w14:textId="3EF5BCF4"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1,58</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E59C7F5" w14:textId="726B68C1"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1,41</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558E37D" w14:textId="6CC315CF"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1,26</w:t>
            </w:r>
          </w:p>
        </w:tc>
      </w:tr>
      <w:tr w:rsidR="00820A13" w:rsidRPr="007C4493" w14:paraId="1F89B685"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611DD250" w14:textId="77777777" w:rsidR="00820A13" w:rsidRPr="007C4493" w:rsidRDefault="00820A13" w:rsidP="00820A13">
            <w:pPr>
              <w:jc w:val="center"/>
              <w:rPr>
                <w:rFonts w:ascii="Arial" w:hAnsi="Arial" w:cs="Arial"/>
                <w:color w:val="000000"/>
                <w:sz w:val="16"/>
                <w:szCs w:val="16"/>
              </w:rPr>
            </w:pPr>
            <w:r w:rsidRPr="007C4493">
              <w:rPr>
                <w:rFonts w:ascii="Arial" w:hAnsi="Arial" w:cs="Arial"/>
                <w:color w:val="000000"/>
                <w:sz w:val="16"/>
                <w:szCs w:val="16"/>
              </w:rPr>
              <w:t>Regular</w:t>
            </w:r>
          </w:p>
        </w:tc>
        <w:tc>
          <w:tcPr>
            <w:tcW w:w="1728" w:type="dxa"/>
            <w:tcBorders>
              <w:top w:val="nil"/>
              <w:left w:val="nil"/>
              <w:bottom w:val="single" w:sz="4" w:space="0" w:color="auto"/>
              <w:right w:val="single" w:sz="4" w:space="0" w:color="auto"/>
            </w:tcBorders>
            <w:shd w:val="clear" w:color="000000" w:fill="FFFFFF"/>
            <w:noWrap/>
            <w:vAlign w:val="center"/>
            <w:hideMark/>
          </w:tcPr>
          <w:p w14:paraId="501A3B80" w14:textId="77777777" w:rsidR="00820A13" w:rsidRPr="007C4493" w:rsidRDefault="00820A13" w:rsidP="00820A13">
            <w:pPr>
              <w:rPr>
                <w:rFonts w:ascii="Arial" w:hAnsi="Arial" w:cs="Arial"/>
                <w:color w:val="000000"/>
                <w:sz w:val="16"/>
                <w:szCs w:val="16"/>
              </w:rPr>
            </w:pPr>
            <w:r w:rsidRPr="007C4493">
              <w:rPr>
                <w:rFonts w:ascii="Arial" w:hAnsi="Arial" w:cs="Arial"/>
                <w:color w:val="000000"/>
                <w:sz w:val="16"/>
                <w:szCs w:val="16"/>
              </w:rPr>
              <w:t>Pesimista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96981AF" w14:textId="15EF9859"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1,25</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FA0C46D" w14:textId="56C602EE"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1,20</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59C9018" w14:textId="7DC64734"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1,09</w:t>
            </w:r>
          </w:p>
        </w:tc>
        <w:tc>
          <w:tcPr>
            <w:tcW w:w="977" w:type="dxa"/>
            <w:tcBorders>
              <w:top w:val="nil"/>
              <w:left w:val="nil"/>
              <w:bottom w:val="single" w:sz="4" w:space="0" w:color="auto"/>
              <w:right w:val="single" w:sz="4" w:space="0" w:color="auto"/>
            </w:tcBorders>
            <w:shd w:val="clear" w:color="000000" w:fill="FFFFFF"/>
            <w:noWrap/>
            <w:vAlign w:val="center"/>
            <w:hideMark/>
          </w:tcPr>
          <w:p w14:paraId="7250C45A" w14:textId="2197228A"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0,98</w:t>
            </w:r>
          </w:p>
        </w:tc>
      </w:tr>
      <w:tr w:rsidR="00820A13" w:rsidRPr="007C4493" w14:paraId="1BF91FE3"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012BCFAE" w14:textId="77777777" w:rsidR="00820A13" w:rsidRPr="007C4493" w:rsidRDefault="00820A13" w:rsidP="00820A13">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08CB0501" w14:textId="77777777" w:rsidR="00820A13" w:rsidRPr="007C4493" w:rsidRDefault="00820A13" w:rsidP="00820A13">
            <w:pPr>
              <w:rPr>
                <w:rFonts w:ascii="Arial" w:hAnsi="Arial" w:cs="Arial"/>
                <w:color w:val="000000"/>
                <w:sz w:val="16"/>
                <w:szCs w:val="16"/>
              </w:rPr>
            </w:pPr>
            <w:r w:rsidRPr="007C4493">
              <w:rPr>
                <w:rFonts w:ascii="Arial" w:hAnsi="Arial" w:cs="Arial"/>
                <w:color w:val="000000"/>
                <w:sz w:val="16"/>
                <w:szCs w:val="16"/>
              </w:rPr>
              <w:t>Medio</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F8BB314" w14:textId="3C1AC518"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1,75</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D62090D" w14:textId="5115AFC4"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1,69</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50226D8" w14:textId="7CC6A023"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1,52</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E98EE42" w14:textId="20C21E6F"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1,37</w:t>
            </w:r>
          </w:p>
        </w:tc>
      </w:tr>
      <w:tr w:rsidR="00820A13" w:rsidRPr="007C4493" w14:paraId="762DDF68" w14:textId="77777777" w:rsidTr="00C014EC">
        <w:trPr>
          <w:trHeight w:val="288"/>
          <w:jc w:val="center"/>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3F490D00" w14:textId="77777777" w:rsidR="00820A13" w:rsidRPr="007C4493" w:rsidRDefault="00820A13" w:rsidP="00820A13">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7084820D" w14:textId="77777777" w:rsidR="00820A13" w:rsidRPr="007C4493" w:rsidRDefault="00820A13" w:rsidP="00820A13">
            <w:pPr>
              <w:rPr>
                <w:rFonts w:ascii="Arial" w:hAnsi="Arial" w:cs="Arial"/>
                <w:color w:val="000000"/>
                <w:sz w:val="16"/>
                <w:szCs w:val="16"/>
              </w:rPr>
            </w:pPr>
            <w:r w:rsidRPr="007C4493">
              <w:rPr>
                <w:rFonts w:ascii="Arial" w:hAnsi="Arial" w:cs="Arial"/>
                <w:color w:val="000000"/>
                <w:sz w:val="16"/>
                <w:szCs w:val="16"/>
              </w:rPr>
              <w:t>Optimista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67E30C0" w14:textId="3E7345EF"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2,25</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220EB53" w14:textId="4F579EE6"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2,17</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3F0A41F" w14:textId="60615CBD"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1,95</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1D5125A" w14:textId="49FC9583"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1,77</w:t>
            </w:r>
          </w:p>
        </w:tc>
      </w:tr>
      <w:tr w:rsidR="00820A13" w:rsidRPr="007C4493" w14:paraId="4BF900B4"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58E09B61" w14:textId="77777777" w:rsidR="00820A13" w:rsidRPr="007C4493" w:rsidRDefault="00820A13" w:rsidP="00820A13">
            <w:pPr>
              <w:jc w:val="center"/>
              <w:rPr>
                <w:rFonts w:ascii="Arial" w:hAnsi="Arial" w:cs="Arial"/>
                <w:color w:val="000000"/>
                <w:sz w:val="16"/>
                <w:szCs w:val="16"/>
              </w:rPr>
            </w:pPr>
            <w:r w:rsidRPr="007C4493">
              <w:rPr>
                <w:rFonts w:ascii="Arial" w:hAnsi="Arial" w:cs="Arial"/>
                <w:color w:val="000000"/>
                <w:sz w:val="16"/>
                <w:szCs w:val="16"/>
              </w:rPr>
              <w:t>Rápido</w:t>
            </w:r>
          </w:p>
        </w:tc>
        <w:tc>
          <w:tcPr>
            <w:tcW w:w="1728" w:type="dxa"/>
            <w:tcBorders>
              <w:top w:val="nil"/>
              <w:left w:val="nil"/>
              <w:bottom w:val="single" w:sz="4" w:space="0" w:color="auto"/>
              <w:right w:val="single" w:sz="4" w:space="0" w:color="auto"/>
            </w:tcBorders>
            <w:shd w:val="clear" w:color="000000" w:fill="FFFFFF"/>
            <w:noWrap/>
            <w:vAlign w:val="center"/>
            <w:hideMark/>
          </w:tcPr>
          <w:p w14:paraId="3BB5C928" w14:textId="77777777" w:rsidR="00820A13" w:rsidRPr="007C4493" w:rsidRDefault="00820A13" w:rsidP="00820A13">
            <w:pPr>
              <w:rPr>
                <w:rFonts w:ascii="Arial" w:hAnsi="Arial" w:cs="Arial"/>
                <w:color w:val="000000"/>
                <w:sz w:val="16"/>
                <w:szCs w:val="16"/>
              </w:rPr>
            </w:pPr>
            <w:r w:rsidRPr="007C4493">
              <w:rPr>
                <w:rFonts w:ascii="Arial" w:hAnsi="Arial" w:cs="Arial"/>
                <w:color w:val="000000"/>
                <w:sz w:val="16"/>
                <w:szCs w:val="16"/>
              </w:rPr>
              <w:t>Pesimista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7F2D31B" w14:textId="05A32C72"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1,78</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99988E7" w14:textId="19782E6F"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1,72</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225D472" w14:textId="5C50374C"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1,55</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053DAAE" w14:textId="4981DA96"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1,40</w:t>
            </w:r>
          </w:p>
        </w:tc>
      </w:tr>
      <w:tr w:rsidR="00820A13" w:rsidRPr="007C4493" w14:paraId="2E34FE66" w14:textId="77777777" w:rsidTr="00C014EC">
        <w:trPr>
          <w:trHeight w:val="288"/>
          <w:jc w:val="center"/>
        </w:trPr>
        <w:tc>
          <w:tcPr>
            <w:tcW w:w="1345" w:type="dxa"/>
            <w:tcBorders>
              <w:top w:val="nil"/>
              <w:left w:val="single" w:sz="4" w:space="0" w:color="auto"/>
              <w:bottom w:val="nil"/>
              <w:right w:val="single" w:sz="4" w:space="0" w:color="auto"/>
            </w:tcBorders>
            <w:shd w:val="clear" w:color="000000" w:fill="FFFFFF"/>
            <w:noWrap/>
            <w:vAlign w:val="center"/>
            <w:hideMark/>
          </w:tcPr>
          <w:p w14:paraId="2A9CDBC6" w14:textId="77777777" w:rsidR="00820A13" w:rsidRPr="007C4493" w:rsidRDefault="00820A13" w:rsidP="00820A13">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5EA8015C" w14:textId="77777777" w:rsidR="00820A13" w:rsidRPr="007C4493" w:rsidRDefault="00820A13" w:rsidP="00820A13">
            <w:pPr>
              <w:rPr>
                <w:rFonts w:ascii="Arial" w:hAnsi="Arial" w:cs="Arial"/>
                <w:color w:val="000000"/>
                <w:sz w:val="16"/>
                <w:szCs w:val="16"/>
              </w:rPr>
            </w:pPr>
            <w:r w:rsidRPr="007C4493">
              <w:rPr>
                <w:rFonts w:ascii="Arial" w:hAnsi="Arial" w:cs="Arial"/>
                <w:color w:val="000000"/>
                <w:sz w:val="16"/>
                <w:szCs w:val="16"/>
              </w:rPr>
              <w:t>Medio</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E491CBB" w14:textId="70197EE0"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2,50</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5E02ADF" w14:textId="3C2A9FB0"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2,41</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3D96716" w14:textId="1DA97346"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2,16</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65461B4" w14:textId="167D1C22"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1,95</w:t>
            </w:r>
          </w:p>
        </w:tc>
      </w:tr>
      <w:tr w:rsidR="00820A13" w:rsidRPr="007C4493" w14:paraId="4C39F38C" w14:textId="77777777" w:rsidTr="00C014EC">
        <w:trPr>
          <w:trHeight w:val="288"/>
          <w:jc w:val="center"/>
        </w:trPr>
        <w:tc>
          <w:tcPr>
            <w:tcW w:w="1345" w:type="dxa"/>
            <w:tcBorders>
              <w:top w:val="nil"/>
              <w:left w:val="single" w:sz="4" w:space="0" w:color="auto"/>
              <w:bottom w:val="single" w:sz="4" w:space="0" w:color="auto"/>
              <w:right w:val="single" w:sz="4" w:space="0" w:color="auto"/>
            </w:tcBorders>
            <w:shd w:val="clear" w:color="000000" w:fill="FFFFFF"/>
            <w:noWrap/>
            <w:vAlign w:val="center"/>
            <w:hideMark/>
          </w:tcPr>
          <w:p w14:paraId="421057E3" w14:textId="77777777" w:rsidR="00820A13" w:rsidRPr="007C4493" w:rsidRDefault="00820A13" w:rsidP="00820A13">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08086839" w14:textId="77777777" w:rsidR="00820A13" w:rsidRPr="007C4493" w:rsidRDefault="00820A13" w:rsidP="00820A13">
            <w:pPr>
              <w:rPr>
                <w:rFonts w:ascii="Arial" w:hAnsi="Arial" w:cs="Arial"/>
                <w:color w:val="000000"/>
                <w:sz w:val="16"/>
                <w:szCs w:val="16"/>
              </w:rPr>
            </w:pPr>
            <w:r w:rsidRPr="007C4493">
              <w:rPr>
                <w:rFonts w:ascii="Arial" w:hAnsi="Arial" w:cs="Arial"/>
                <w:color w:val="000000"/>
                <w:sz w:val="16"/>
                <w:szCs w:val="16"/>
              </w:rPr>
              <w:t>Optimista</w:t>
            </w:r>
          </w:p>
        </w:tc>
        <w:tc>
          <w:tcPr>
            <w:tcW w:w="98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593147E" w14:textId="02A8C3C8"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3,21</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686120C" w14:textId="79BAEAB9"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3,09</w:t>
            </w:r>
          </w:p>
        </w:tc>
        <w:tc>
          <w:tcPr>
            <w:tcW w:w="81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06F1BE4" w14:textId="2AD6546E"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2,78</w:t>
            </w:r>
          </w:p>
        </w:tc>
        <w:tc>
          <w:tcPr>
            <w:tcW w:w="977"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18DE93F" w14:textId="582251A3" w:rsidR="00820A13" w:rsidRPr="00820A13" w:rsidRDefault="00820A13" w:rsidP="00820A13">
            <w:pPr>
              <w:jc w:val="center"/>
              <w:rPr>
                <w:rFonts w:ascii="Arial" w:hAnsi="Arial" w:cs="Arial"/>
                <w:color w:val="000000"/>
                <w:sz w:val="16"/>
                <w:szCs w:val="16"/>
              </w:rPr>
            </w:pPr>
            <w:r w:rsidRPr="00820A13">
              <w:rPr>
                <w:rFonts w:ascii="Arial" w:hAnsi="Arial" w:cs="Arial"/>
                <w:color w:val="000000"/>
                <w:sz w:val="16"/>
                <w:szCs w:val="16"/>
              </w:rPr>
              <w:t>2,51</w:t>
            </w:r>
          </w:p>
        </w:tc>
      </w:tr>
    </w:tbl>
    <w:p w14:paraId="66411DA5" w14:textId="77777777" w:rsidR="00E22BB9" w:rsidRPr="00210A53" w:rsidRDefault="00E22BB9" w:rsidP="00E22BB9">
      <w:pPr>
        <w:keepNext/>
        <w:autoSpaceDE w:val="0"/>
        <w:autoSpaceDN w:val="0"/>
        <w:adjustRightInd w:val="0"/>
        <w:jc w:val="center"/>
        <w:rPr>
          <w:rFonts w:ascii="Arial" w:hAnsi="Arial" w:cs="Arial"/>
          <w:sz w:val="16"/>
          <w:szCs w:val="16"/>
        </w:rPr>
      </w:pPr>
    </w:p>
    <w:p w14:paraId="6B1B3056" w14:textId="77777777" w:rsidR="00E22BB9" w:rsidRPr="00210A53" w:rsidRDefault="00E22BB9" w:rsidP="00E22BB9">
      <w:pPr>
        <w:keepNext/>
        <w:autoSpaceDE w:val="0"/>
        <w:autoSpaceDN w:val="0"/>
        <w:adjustRightInd w:val="0"/>
        <w:jc w:val="center"/>
        <w:rPr>
          <w:rFonts w:ascii="Arial" w:hAnsi="Arial" w:cs="Arial"/>
          <w:sz w:val="16"/>
          <w:szCs w:val="16"/>
        </w:rPr>
      </w:pPr>
    </w:p>
    <w:p w14:paraId="0D1A3494" w14:textId="77777777" w:rsidR="00E22BB9" w:rsidRPr="00210A53" w:rsidRDefault="00E22BB9" w:rsidP="00E22BB9">
      <w:pPr>
        <w:keepNext/>
        <w:autoSpaceDE w:val="0"/>
        <w:autoSpaceDN w:val="0"/>
        <w:adjustRightInd w:val="0"/>
        <w:jc w:val="center"/>
        <w:rPr>
          <w:rFonts w:ascii="Arial" w:hAnsi="Arial" w:cs="Arial"/>
          <w:sz w:val="18"/>
          <w:szCs w:val="16"/>
        </w:rPr>
      </w:pPr>
      <w:r w:rsidRPr="00210A53">
        <w:rPr>
          <w:rFonts w:ascii="Arial" w:hAnsi="Arial" w:cs="Arial"/>
          <w:sz w:val="18"/>
          <w:szCs w:val="16"/>
        </w:rPr>
        <w:t>Nota: En verde se resaltan los valores positivos de la razón beneficio/costo.</w:t>
      </w:r>
    </w:p>
    <w:p w14:paraId="415FC371" w14:textId="77777777" w:rsidR="00E22BB9" w:rsidRDefault="00E22BB9" w:rsidP="00E22BB9">
      <w:pPr>
        <w:jc w:val="center"/>
        <w:rPr>
          <w:rFonts w:ascii="Arial" w:hAnsi="Arial" w:cs="Arial"/>
          <w:sz w:val="18"/>
          <w:szCs w:val="16"/>
        </w:rPr>
      </w:pPr>
      <w:r w:rsidRPr="00210A53">
        <w:rPr>
          <w:rFonts w:ascii="Arial" w:hAnsi="Arial" w:cs="Arial"/>
          <w:sz w:val="18"/>
          <w:szCs w:val="16"/>
        </w:rPr>
        <w:t>Fuente: Elaboración de los autores</w:t>
      </w:r>
    </w:p>
    <w:p w14:paraId="5523BFC1" w14:textId="7657EC74" w:rsidR="00B649DD" w:rsidRDefault="00B649DD">
      <w:pPr>
        <w:rPr>
          <w:rFonts w:ascii="Arial" w:hAnsi="Arial" w:cs="Arial"/>
          <w:b/>
          <w:bCs/>
          <w:smallCaps/>
          <w:color w:val="000000"/>
          <w:sz w:val="20"/>
          <w:szCs w:val="20"/>
        </w:rPr>
      </w:pPr>
    </w:p>
    <w:p w14:paraId="5F307082" w14:textId="2E969B93" w:rsidR="007C4493" w:rsidRDefault="007C4493" w:rsidP="007C4493">
      <w:pPr>
        <w:spacing w:before="120" w:after="120"/>
        <w:jc w:val="both"/>
        <w:rPr>
          <w:rFonts w:ascii="Arial" w:hAnsi="Arial" w:cs="Arial"/>
          <w:sz w:val="22"/>
          <w:szCs w:val="22"/>
        </w:rPr>
      </w:pPr>
      <w:r w:rsidRPr="00210A53">
        <w:rPr>
          <w:rFonts w:ascii="Arial" w:hAnsi="Arial" w:cs="Arial"/>
          <w:sz w:val="22"/>
          <w:szCs w:val="22"/>
        </w:rPr>
        <w:t>Se presentan también los resultados del análisis alternativo donde se considera un escenario más amplio que comprende de 20</w:t>
      </w:r>
      <w:r>
        <w:rPr>
          <w:rFonts w:ascii="Arial" w:hAnsi="Arial" w:cs="Arial"/>
          <w:sz w:val="22"/>
          <w:szCs w:val="22"/>
        </w:rPr>
        <w:t>22</w:t>
      </w:r>
      <w:r w:rsidRPr="00210A53">
        <w:rPr>
          <w:rFonts w:ascii="Arial" w:hAnsi="Arial" w:cs="Arial"/>
          <w:sz w:val="22"/>
          <w:szCs w:val="22"/>
        </w:rPr>
        <w:t xml:space="preserve"> a 20</w:t>
      </w:r>
      <w:r>
        <w:rPr>
          <w:rFonts w:ascii="Arial" w:hAnsi="Arial" w:cs="Arial"/>
          <w:sz w:val="22"/>
          <w:szCs w:val="22"/>
        </w:rPr>
        <w:t>32</w:t>
      </w:r>
      <w:r w:rsidRPr="00210A53">
        <w:rPr>
          <w:rFonts w:ascii="Arial" w:hAnsi="Arial" w:cs="Arial"/>
          <w:sz w:val="22"/>
          <w:szCs w:val="22"/>
        </w:rPr>
        <w:t xml:space="preserve">. El anterior análisis permite reconocer que los beneficios de la intervención toman tiempo en observarse completamente. Sin embargo, una vez que se concluye el periodo de desembolso también se deben realizar inversiones adicionales para mantener los servicios del programa (por ejemplo, costos de mantenimiento hospitalario, recursos humanos e insumos). En este análisis se estima que el </w:t>
      </w:r>
      <w:r>
        <w:rPr>
          <w:rFonts w:ascii="Arial" w:hAnsi="Arial" w:cs="Arial"/>
          <w:sz w:val="22"/>
          <w:szCs w:val="22"/>
        </w:rPr>
        <w:t>ESE</w:t>
      </w:r>
      <w:r w:rsidRPr="00210A53">
        <w:rPr>
          <w:rFonts w:ascii="Arial" w:hAnsi="Arial" w:cs="Arial"/>
          <w:sz w:val="22"/>
          <w:szCs w:val="22"/>
        </w:rPr>
        <w:t xml:space="preserve"> debería asumir un costo </w:t>
      </w:r>
      <w:r w:rsidRPr="002C740D">
        <w:rPr>
          <w:rFonts w:ascii="Arial" w:hAnsi="Arial" w:cs="Arial"/>
          <w:sz w:val="22"/>
          <w:szCs w:val="22"/>
        </w:rPr>
        <w:t>de alrededor de US$</w:t>
      </w:r>
      <w:r w:rsidR="00593B37">
        <w:rPr>
          <w:rFonts w:ascii="Arial" w:hAnsi="Arial" w:cs="Arial"/>
          <w:sz w:val="22"/>
          <w:szCs w:val="22"/>
        </w:rPr>
        <w:t>929.500</w:t>
      </w:r>
      <w:r w:rsidRPr="00210A53">
        <w:rPr>
          <w:rFonts w:ascii="Arial" w:hAnsi="Arial" w:cs="Arial"/>
          <w:sz w:val="22"/>
          <w:szCs w:val="22"/>
        </w:rPr>
        <w:t xml:space="preserve"> anuales a partir de 20</w:t>
      </w:r>
      <w:r>
        <w:rPr>
          <w:rFonts w:ascii="Arial" w:hAnsi="Arial" w:cs="Arial"/>
          <w:sz w:val="22"/>
          <w:szCs w:val="22"/>
        </w:rPr>
        <w:t xml:space="preserve">27 </w:t>
      </w:r>
      <w:r w:rsidRPr="00210A53">
        <w:rPr>
          <w:rFonts w:ascii="Arial" w:hAnsi="Arial" w:cs="Arial"/>
          <w:sz w:val="22"/>
          <w:szCs w:val="22"/>
        </w:rPr>
        <w:t>para apalancar los beneficios. Los</w:t>
      </w:r>
      <w:r>
        <w:rPr>
          <w:rFonts w:ascii="Arial" w:hAnsi="Arial" w:cs="Arial"/>
          <w:sz w:val="22"/>
          <w:szCs w:val="22"/>
        </w:rPr>
        <w:t> </w:t>
      </w:r>
      <w:r w:rsidRPr="00210A53">
        <w:rPr>
          <w:rFonts w:ascii="Arial" w:hAnsi="Arial" w:cs="Arial"/>
          <w:sz w:val="22"/>
          <w:szCs w:val="22"/>
        </w:rPr>
        <w:t xml:space="preserve">resultados de la </w:t>
      </w:r>
      <w:r>
        <w:rPr>
          <w:rFonts w:ascii="Arial" w:hAnsi="Arial" w:cs="Arial"/>
          <w:sz w:val="22"/>
          <w:szCs w:val="22"/>
        </w:rPr>
        <w:t>Tabla 10</w:t>
      </w:r>
      <w:r w:rsidRPr="00210A53">
        <w:rPr>
          <w:rFonts w:ascii="Arial" w:hAnsi="Arial" w:cs="Arial"/>
          <w:sz w:val="22"/>
          <w:szCs w:val="22"/>
        </w:rPr>
        <w:t xml:space="preserve"> muestran que los beneficios siempre exceden a los costos aún en el escenario más lento y el vector de gradualidad más lento. El escenario más probable es que se presenta un escenario de cobertura medio y un vector de gradualidad regular con lo que se obtendría una razón de </w:t>
      </w:r>
      <w:r w:rsidR="00201526">
        <w:rPr>
          <w:rFonts w:ascii="Arial" w:hAnsi="Arial" w:cs="Arial"/>
          <w:sz w:val="22"/>
          <w:szCs w:val="22"/>
        </w:rPr>
        <w:t>4.0</w:t>
      </w:r>
      <w:r>
        <w:rPr>
          <w:rFonts w:ascii="Arial" w:hAnsi="Arial" w:cs="Arial"/>
          <w:sz w:val="22"/>
          <w:szCs w:val="22"/>
        </w:rPr>
        <w:t>.</w:t>
      </w:r>
    </w:p>
    <w:p w14:paraId="60591746" w14:textId="77777777" w:rsidR="007C4493" w:rsidRPr="00210A53" w:rsidRDefault="007C4493" w:rsidP="007C4493">
      <w:pPr>
        <w:spacing w:before="120"/>
        <w:jc w:val="both"/>
        <w:rPr>
          <w:rFonts w:ascii="Arial" w:hAnsi="Arial" w:cs="Arial"/>
          <w:sz w:val="22"/>
          <w:szCs w:val="22"/>
        </w:rPr>
      </w:pPr>
    </w:p>
    <w:p w14:paraId="54DEAF6C" w14:textId="77777777" w:rsidR="007C4493" w:rsidRPr="00210A53" w:rsidRDefault="007C4493" w:rsidP="007C4493">
      <w:pPr>
        <w:pStyle w:val="Caption"/>
      </w:pPr>
      <w:r w:rsidRPr="005E3D7E">
        <w:t>Tabla 10. Análisis de sensibilidad de la razón beneficio/costo, periodo 2022-2032</w:t>
      </w:r>
    </w:p>
    <w:p w14:paraId="7DFC97A6" w14:textId="77777777" w:rsidR="007C4493" w:rsidRDefault="007C4493" w:rsidP="007C4493">
      <w:pPr>
        <w:autoSpaceDE w:val="0"/>
        <w:autoSpaceDN w:val="0"/>
        <w:adjustRightInd w:val="0"/>
        <w:jc w:val="center"/>
        <w:rPr>
          <w:rFonts w:ascii="Arial" w:hAnsi="Arial" w:cs="Arial"/>
          <w:noProof/>
          <w:sz w:val="16"/>
          <w:szCs w:val="16"/>
          <w:lang w:eastAsia="it-IT"/>
        </w:rPr>
      </w:pPr>
    </w:p>
    <w:tbl>
      <w:tblPr>
        <w:tblW w:w="6835" w:type="dxa"/>
        <w:jc w:val="center"/>
        <w:tblLook w:val="04A0" w:firstRow="1" w:lastRow="0" w:firstColumn="1" w:lastColumn="0" w:noHBand="0" w:noVBand="1"/>
      </w:tblPr>
      <w:tblGrid>
        <w:gridCol w:w="1339"/>
        <w:gridCol w:w="1728"/>
        <w:gridCol w:w="978"/>
        <w:gridCol w:w="990"/>
        <w:gridCol w:w="900"/>
        <w:gridCol w:w="900"/>
      </w:tblGrid>
      <w:tr w:rsidR="007C4493" w:rsidRPr="007C4493" w14:paraId="59702654" w14:textId="77777777" w:rsidTr="00C014EC">
        <w:trPr>
          <w:trHeight w:val="864"/>
          <w:jc w:val="center"/>
        </w:trPr>
        <w:tc>
          <w:tcPr>
            <w:tcW w:w="133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E52BE34" w14:textId="77777777" w:rsidR="007C4493" w:rsidRPr="007C4493" w:rsidRDefault="007C4493" w:rsidP="00C014EC">
            <w:pPr>
              <w:jc w:val="center"/>
              <w:rPr>
                <w:rFonts w:ascii="Arial" w:hAnsi="Arial" w:cs="Arial"/>
                <w:b/>
                <w:bCs/>
                <w:color w:val="000000"/>
                <w:sz w:val="16"/>
                <w:szCs w:val="16"/>
              </w:rPr>
            </w:pPr>
            <w:r w:rsidRPr="007C4493">
              <w:rPr>
                <w:rFonts w:ascii="Arial" w:hAnsi="Arial" w:cs="Arial"/>
                <w:b/>
                <w:bCs/>
                <w:color w:val="000000"/>
                <w:sz w:val="16"/>
                <w:szCs w:val="16"/>
              </w:rPr>
              <w:t>Vectores de gradualidad</w:t>
            </w:r>
          </w:p>
        </w:tc>
        <w:tc>
          <w:tcPr>
            <w:tcW w:w="17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57B752" w14:textId="77777777" w:rsidR="007C4493" w:rsidRPr="007C4493" w:rsidRDefault="007C4493" w:rsidP="00C014EC">
            <w:pPr>
              <w:jc w:val="center"/>
              <w:rPr>
                <w:rFonts w:ascii="Arial" w:hAnsi="Arial" w:cs="Arial"/>
                <w:b/>
                <w:bCs/>
                <w:color w:val="000000"/>
                <w:sz w:val="16"/>
                <w:szCs w:val="16"/>
              </w:rPr>
            </w:pPr>
            <w:r w:rsidRPr="007C4493">
              <w:rPr>
                <w:rFonts w:ascii="Arial" w:hAnsi="Arial" w:cs="Arial"/>
                <w:b/>
                <w:bCs/>
                <w:color w:val="000000"/>
                <w:sz w:val="16"/>
                <w:szCs w:val="16"/>
              </w:rPr>
              <w:t>Escenarios de cobertura efectiva</w:t>
            </w:r>
          </w:p>
        </w:tc>
        <w:tc>
          <w:tcPr>
            <w:tcW w:w="3768"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6B2083E0" w14:textId="77777777" w:rsidR="007C4493" w:rsidRPr="007C4493" w:rsidRDefault="007C4493" w:rsidP="00C014EC">
            <w:pPr>
              <w:jc w:val="center"/>
              <w:rPr>
                <w:rFonts w:ascii="Arial" w:hAnsi="Arial" w:cs="Arial"/>
                <w:b/>
                <w:bCs/>
                <w:color w:val="000000"/>
                <w:sz w:val="16"/>
                <w:szCs w:val="16"/>
              </w:rPr>
            </w:pPr>
            <w:r w:rsidRPr="007C4493">
              <w:rPr>
                <w:rFonts w:ascii="Arial" w:hAnsi="Arial" w:cs="Arial"/>
                <w:b/>
                <w:bCs/>
                <w:color w:val="000000"/>
                <w:sz w:val="16"/>
                <w:szCs w:val="16"/>
              </w:rPr>
              <w:t>Tasa de descuento</w:t>
            </w:r>
          </w:p>
        </w:tc>
      </w:tr>
      <w:tr w:rsidR="007C4493" w:rsidRPr="007C4493" w14:paraId="79E7AA01" w14:textId="77777777" w:rsidTr="00C014EC">
        <w:trPr>
          <w:trHeight w:val="288"/>
          <w:jc w:val="center"/>
        </w:trPr>
        <w:tc>
          <w:tcPr>
            <w:tcW w:w="1339" w:type="dxa"/>
            <w:vMerge/>
            <w:tcBorders>
              <w:top w:val="single" w:sz="4" w:space="0" w:color="auto"/>
              <w:left w:val="single" w:sz="4" w:space="0" w:color="auto"/>
              <w:bottom w:val="single" w:sz="4" w:space="0" w:color="000000"/>
              <w:right w:val="single" w:sz="4" w:space="0" w:color="auto"/>
            </w:tcBorders>
            <w:vAlign w:val="center"/>
            <w:hideMark/>
          </w:tcPr>
          <w:p w14:paraId="3E7B4B65" w14:textId="77777777" w:rsidR="007C4493" w:rsidRPr="007C4493" w:rsidRDefault="007C4493" w:rsidP="00C014EC">
            <w:pPr>
              <w:rPr>
                <w:rFonts w:ascii="Arial" w:hAnsi="Arial" w:cs="Arial"/>
                <w:b/>
                <w:bCs/>
                <w:color w:val="000000"/>
                <w:sz w:val="16"/>
                <w:szCs w:val="16"/>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1B08243B" w14:textId="77777777" w:rsidR="007C4493" w:rsidRPr="007C4493" w:rsidRDefault="007C4493" w:rsidP="00C014EC">
            <w:pPr>
              <w:rPr>
                <w:rFonts w:ascii="Arial" w:hAnsi="Arial" w:cs="Arial"/>
                <w:b/>
                <w:bCs/>
                <w:color w:val="000000"/>
                <w:sz w:val="16"/>
                <w:szCs w:val="16"/>
              </w:rPr>
            </w:pPr>
          </w:p>
        </w:tc>
        <w:tc>
          <w:tcPr>
            <w:tcW w:w="978" w:type="dxa"/>
            <w:tcBorders>
              <w:top w:val="nil"/>
              <w:left w:val="nil"/>
              <w:bottom w:val="single" w:sz="4" w:space="0" w:color="auto"/>
              <w:right w:val="single" w:sz="4" w:space="0" w:color="auto"/>
            </w:tcBorders>
            <w:shd w:val="clear" w:color="000000" w:fill="EDEDED"/>
            <w:noWrap/>
            <w:vAlign w:val="center"/>
            <w:hideMark/>
          </w:tcPr>
          <w:p w14:paraId="2262AA4D" w14:textId="77777777" w:rsidR="007C4493" w:rsidRPr="007C4493" w:rsidRDefault="007C4493" w:rsidP="00C014EC">
            <w:pPr>
              <w:jc w:val="center"/>
              <w:rPr>
                <w:rFonts w:ascii="Arial" w:hAnsi="Arial" w:cs="Arial"/>
                <w:color w:val="000000"/>
                <w:sz w:val="16"/>
                <w:szCs w:val="16"/>
              </w:rPr>
            </w:pPr>
            <w:r w:rsidRPr="007C4493">
              <w:rPr>
                <w:rFonts w:ascii="Arial" w:hAnsi="Arial" w:cs="Arial"/>
                <w:color w:val="000000"/>
                <w:sz w:val="16"/>
                <w:szCs w:val="16"/>
              </w:rPr>
              <w:t>2%</w:t>
            </w:r>
          </w:p>
        </w:tc>
        <w:tc>
          <w:tcPr>
            <w:tcW w:w="990" w:type="dxa"/>
            <w:tcBorders>
              <w:top w:val="nil"/>
              <w:left w:val="nil"/>
              <w:bottom w:val="single" w:sz="4" w:space="0" w:color="auto"/>
              <w:right w:val="single" w:sz="4" w:space="0" w:color="auto"/>
            </w:tcBorders>
            <w:shd w:val="clear" w:color="000000" w:fill="EDEDED"/>
            <w:noWrap/>
            <w:vAlign w:val="center"/>
            <w:hideMark/>
          </w:tcPr>
          <w:p w14:paraId="3E2C0EA9" w14:textId="77777777" w:rsidR="007C4493" w:rsidRPr="007C4493" w:rsidRDefault="007C4493" w:rsidP="00C014EC">
            <w:pPr>
              <w:jc w:val="center"/>
              <w:rPr>
                <w:rFonts w:ascii="Arial" w:hAnsi="Arial" w:cs="Arial"/>
                <w:color w:val="000000"/>
                <w:sz w:val="16"/>
                <w:szCs w:val="16"/>
              </w:rPr>
            </w:pPr>
            <w:r w:rsidRPr="007C4493">
              <w:rPr>
                <w:rFonts w:ascii="Arial" w:hAnsi="Arial" w:cs="Arial"/>
                <w:color w:val="000000"/>
                <w:sz w:val="16"/>
                <w:szCs w:val="16"/>
              </w:rPr>
              <w:t>3%</w:t>
            </w:r>
          </w:p>
        </w:tc>
        <w:tc>
          <w:tcPr>
            <w:tcW w:w="900" w:type="dxa"/>
            <w:tcBorders>
              <w:top w:val="nil"/>
              <w:left w:val="nil"/>
              <w:bottom w:val="single" w:sz="4" w:space="0" w:color="auto"/>
              <w:right w:val="single" w:sz="4" w:space="0" w:color="auto"/>
            </w:tcBorders>
            <w:shd w:val="clear" w:color="000000" w:fill="EDEDED"/>
            <w:noWrap/>
            <w:vAlign w:val="center"/>
            <w:hideMark/>
          </w:tcPr>
          <w:p w14:paraId="3B3B3632" w14:textId="77777777" w:rsidR="007C4493" w:rsidRPr="007C4493" w:rsidRDefault="007C4493" w:rsidP="00C014EC">
            <w:pPr>
              <w:jc w:val="center"/>
              <w:rPr>
                <w:rFonts w:ascii="Arial" w:hAnsi="Arial" w:cs="Arial"/>
                <w:color w:val="000000"/>
                <w:sz w:val="16"/>
                <w:szCs w:val="16"/>
              </w:rPr>
            </w:pPr>
            <w:r w:rsidRPr="007C4493">
              <w:rPr>
                <w:rFonts w:ascii="Arial" w:hAnsi="Arial" w:cs="Arial"/>
                <w:color w:val="000000"/>
                <w:sz w:val="16"/>
                <w:szCs w:val="16"/>
              </w:rPr>
              <w:t>6%</w:t>
            </w:r>
          </w:p>
        </w:tc>
        <w:tc>
          <w:tcPr>
            <w:tcW w:w="900" w:type="dxa"/>
            <w:tcBorders>
              <w:top w:val="nil"/>
              <w:left w:val="nil"/>
              <w:bottom w:val="single" w:sz="4" w:space="0" w:color="auto"/>
              <w:right w:val="single" w:sz="4" w:space="0" w:color="auto"/>
            </w:tcBorders>
            <w:shd w:val="clear" w:color="000000" w:fill="EDEDED"/>
            <w:noWrap/>
            <w:vAlign w:val="center"/>
            <w:hideMark/>
          </w:tcPr>
          <w:p w14:paraId="699AFCF8" w14:textId="77777777" w:rsidR="007C4493" w:rsidRPr="007C4493" w:rsidRDefault="007C4493" w:rsidP="00C014EC">
            <w:pPr>
              <w:jc w:val="center"/>
              <w:rPr>
                <w:rFonts w:ascii="Arial" w:hAnsi="Arial" w:cs="Arial"/>
                <w:color w:val="000000"/>
                <w:sz w:val="16"/>
                <w:szCs w:val="16"/>
              </w:rPr>
            </w:pPr>
            <w:r w:rsidRPr="007C4493">
              <w:rPr>
                <w:rFonts w:ascii="Arial" w:hAnsi="Arial" w:cs="Arial"/>
                <w:color w:val="000000"/>
                <w:sz w:val="16"/>
                <w:szCs w:val="16"/>
              </w:rPr>
              <w:t>9%</w:t>
            </w:r>
          </w:p>
        </w:tc>
      </w:tr>
      <w:tr w:rsidR="00201526" w:rsidRPr="007C4493" w14:paraId="1CD45E5D" w14:textId="77777777" w:rsidTr="00C014EC">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4771E87E" w14:textId="77777777" w:rsidR="00201526" w:rsidRPr="007C4493" w:rsidRDefault="00201526" w:rsidP="00201526">
            <w:pPr>
              <w:jc w:val="center"/>
              <w:rPr>
                <w:rFonts w:ascii="Arial" w:hAnsi="Arial" w:cs="Arial"/>
                <w:color w:val="000000"/>
                <w:sz w:val="16"/>
                <w:szCs w:val="16"/>
              </w:rPr>
            </w:pPr>
            <w:r w:rsidRPr="007C4493">
              <w:rPr>
                <w:rFonts w:ascii="Arial" w:hAnsi="Arial" w:cs="Arial"/>
                <w:color w:val="000000"/>
                <w:sz w:val="16"/>
                <w:szCs w:val="16"/>
              </w:rPr>
              <w:t>Lento</w:t>
            </w:r>
          </w:p>
        </w:tc>
        <w:tc>
          <w:tcPr>
            <w:tcW w:w="1728" w:type="dxa"/>
            <w:tcBorders>
              <w:top w:val="nil"/>
              <w:left w:val="nil"/>
              <w:bottom w:val="single" w:sz="4" w:space="0" w:color="auto"/>
              <w:right w:val="single" w:sz="4" w:space="0" w:color="auto"/>
            </w:tcBorders>
            <w:shd w:val="clear" w:color="000000" w:fill="FFFFFF"/>
            <w:noWrap/>
            <w:vAlign w:val="center"/>
            <w:hideMark/>
          </w:tcPr>
          <w:p w14:paraId="77F0F4A0" w14:textId="77777777" w:rsidR="00201526" w:rsidRPr="007C4493" w:rsidRDefault="00201526" w:rsidP="00201526">
            <w:pPr>
              <w:rPr>
                <w:rFonts w:ascii="Arial" w:hAnsi="Arial" w:cs="Arial"/>
                <w:color w:val="000000"/>
                <w:sz w:val="16"/>
                <w:szCs w:val="16"/>
              </w:rPr>
            </w:pPr>
            <w:r w:rsidRPr="007C4493">
              <w:rPr>
                <w:rFonts w:ascii="Arial" w:hAnsi="Arial" w:cs="Arial"/>
                <w:color w:val="000000"/>
                <w:sz w:val="16"/>
                <w:szCs w:val="16"/>
              </w:rPr>
              <w:t>Pesimista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1E58992" w14:textId="6D853788"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2,74</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DDB922A" w14:textId="4640337F"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2,56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B830CEE" w14:textId="4D08274F"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2,10</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D93DEBA" w14:textId="387ED6E1"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1,74</w:t>
            </w:r>
          </w:p>
        </w:tc>
      </w:tr>
      <w:tr w:rsidR="00201526" w:rsidRPr="007C4493" w14:paraId="320A9381" w14:textId="77777777" w:rsidTr="00C014EC">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1A34D2A1" w14:textId="77777777" w:rsidR="00201526" w:rsidRPr="007C4493" w:rsidRDefault="00201526" w:rsidP="00201526">
            <w:pPr>
              <w:jc w:val="center"/>
              <w:rPr>
                <w:rFonts w:ascii="Arial" w:hAnsi="Arial" w:cs="Arial"/>
                <w:color w:val="000000"/>
                <w:sz w:val="16"/>
                <w:szCs w:val="16"/>
              </w:rPr>
            </w:pPr>
            <w:r w:rsidRPr="007C4493">
              <w:rPr>
                <w:rFonts w:ascii="Arial" w:hAnsi="Arial" w:cs="Arial"/>
                <w:color w:val="000000"/>
                <w:sz w:val="16"/>
                <w:szCs w:val="16"/>
              </w:rPr>
              <w:lastRenderedPageBreak/>
              <w:t> </w:t>
            </w:r>
          </w:p>
        </w:tc>
        <w:tc>
          <w:tcPr>
            <w:tcW w:w="1728" w:type="dxa"/>
            <w:tcBorders>
              <w:top w:val="nil"/>
              <w:left w:val="nil"/>
              <w:bottom w:val="single" w:sz="4" w:space="0" w:color="auto"/>
              <w:right w:val="single" w:sz="4" w:space="0" w:color="auto"/>
            </w:tcBorders>
            <w:shd w:val="clear" w:color="000000" w:fill="FFFFFF"/>
            <w:noWrap/>
            <w:vAlign w:val="center"/>
            <w:hideMark/>
          </w:tcPr>
          <w:p w14:paraId="778130D8" w14:textId="77777777" w:rsidR="00201526" w:rsidRPr="007C4493" w:rsidRDefault="00201526" w:rsidP="00201526">
            <w:pPr>
              <w:rPr>
                <w:rFonts w:ascii="Arial" w:hAnsi="Arial" w:cs="Arial"/>
                <w:color w:val="000000"/>
                <w:sz w:val="16"/>
                <w:szCs w:val="16"/>
              </w:rPr>
            </w:pPr>
            <w:r w:rsidRPr="007C4493">
              <w:rPr>
                <w:rFonts w:ascii="Arial" w:hAnsi="Arial" w:cs="Arial"/>
                <w:color w:val="000000"/>
                <w:sz w:val="16"/>
                <w:szCs w:val="16"/>
              </w:rPr>
              <w:t>Medio</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23BBDD0" w14:textId="0ED14AD0"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3,83</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8EDAB68" w14:textId="570DC553"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3,58</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0D57C44" w14:textId="341A0CB4"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2,94</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90CFB1E" w14:textId="79067DEA"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2,44</w:t>
            </w:r>
          </w:p>
        </w:tc>
      </w:tr>
      <w:tr w:rsidR="00201526" w:rsidRPr="007C4493" w14:paraId="641A000A" w14:textId="77777777" w:rsidTr="00C014EC">
        <w:trPr>
          <w:trHeight w:val="288"/>
          <w:jc w:val="center"/>
        </w:trPr>
        <w:tc>
          <w:tcPr>
            <w:tcW w:w="1339" w:type="dxa"/>
            <w:tcBorders>
              <w:top w:val="nil"/>
              <w:left w:val="single" w:sz="4" w:space="0" w:color="auto"/>
              <w:bottom w:val="single" w:sz="4" w:space="0" w:color="auto"/>
              <w:right w:val="single" w:sz="4" w:space="0" w:color="auto"/>
            </w:tcBorders>
            <w:shd w:val="clear" w:color="000000" w:fill="FFFFFF"/>
            <w:noWrap/>
            <w:vAlign w:val="center"/>
            <w:hideMark/>
          </w:tcPr>
          <w:p w14:paraId="5AC97B07" w14:textId="77777777" w:rsidR="00201526" w:rsidRPr="007C4493" w:rsidRDefault="00201526" w:rsidP="00201526">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7E819A19" w14:textId="77777777" w:rsidR="00201526" w:rsidRPr="007C4493" w:rsidRDefault="00201526" w:rsidP="00201526">
            <w:pPr>
              <w:rPr>
                <w:rFonts w:ascii="Arial" w:hAnsi="Arial" w:cs="Arial"/>
                <w:color w:val="000000"/>
                <w:sz w:val="16"/>
                <w:szCs w:val="16"/>
              </w:rPr>
            </w:pPr>
            <w:r w:rsidRPr="007C4493">
              <w:rPr>
                <w:rFonts w:ascii="Arial" w:hAnsi="Arial" w:cs="Arial"/>
                <w:color w:val="000000"/>
                <w:sz w:val="16"/>
                <w:szCs w:val="16"/>
              </w:rPr>
              <w:t>Optimista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D01BA20" w14:textId="2E86DCFD"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4,92</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64E4001" w14:textId="426DC3D4"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4,60</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2FA532A" w14:textId="452AA4B1"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3,79</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8551BD8" w14:textId="75E6FDFB"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3,14</w:t>
            </w:r>
          </w:p>
        </w:tc>
      </w:tr>
      <w:tr w:rsidR="00201526" w:rsidRPr="007C4493" w14:paraId="75E3A258" w14:textId="77777777" w:rsidTr="00C014EC">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54805FEA" w14:textId="77777777" w:rsidR="00201526" w:rsidRPr="007C4493" w:rsidRDefault="00201526" w:rsidP="00201526">
            <w:pPr>
              <w:jc w:val="center"/>
              <w:rPr>
                <w:rFonts w:ascii="Arial" w:hAnsi="Arial" w:cs="Arial"/>
                <w:color w:val="000000"/>
                <w:sz w:val="16"/>
                <w:szCs w:val="16"/>
              </w:rPr>
            </w:pPr>
            <w:r w:rsidRPr="007C4493">
              <w:rPr>
                <w:rFonts w:ascii="Arial" w:hAnsi="Arial" w:cs="Arial"/>
                <w:color w:val="000000"/>
                <w:sz w:val="16"/>
                <w:szCs w:val="16"/>
              </w:rPr>
              <w:t>Regular</w:t>
            </w:r>
          </w:p>
        </w:tc>
        <w:tc>
          <w:tcPr>
            <w:tcW w:w="1728" w:type="dxa"/>
            <w:tcBorders>
              <w:top w:val="nil"/>
              <w:left w:val="nil"/>
              <w:bottom w:val="single" w:sz="4" w:space="0" w:color="auto"/>
              <w:right w:val="single" w:sz="4" w:space="0" w:color="auto"/>
            </w:tcBorders>
            <w:shd w:val="clear" w:color="000000" w:fill="FFFFFF"/>
            <w:noWrap/>
            <w:vAlign w:val="center"/>
            <w:hideMark/>
          </w:tcPr>
          <w:p w14:paraId="5BEC7D81" w14:textId="77777777" w:rsidR="00201526" w:rsidRPr="007C4493" w:rsidRDefault="00201526" w:rsidP="00201526">
            <w:pPr>
              <w:rPr>
                <w:rFonts w:ascii="Arial" w:hAnsi="Arial" w:cs="Arial"/>
                <w:color w:val="000000"/>
                <w:sz w:val="16"/>
                <w:szCs w:val="16"/>
              </w:rPr>
            </w:pPr>
            <w:r w:rsidRPr="007C4493">
              <w:rPr>
                <w:rFonts w:ascii="Arial" w:hAnsi="Arial" w:cs="Arial"/>
                <w:color w:val="000000"/>
                <w:sz w:val="16"/>
                <w:szCs w:val="16"/>
              </w:rPr>
              <w:t>Pesimista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A97B47A" w14:textId="5C124B3C"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3,05</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8F37467" w14:textId="704FE1AB"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2,86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EC56338" w14:textId="3A7F6D48"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2,37</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57C1FFB" w14:textId="49ABF25E"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1,99</w:t>
            </w:r>
          </w:p>
        </w:tc>
      </w:tr>
      <w:tr w:rsidR="00201526" w:rsidRPr="007C4493" w14:paraId="2E79677A" w14:textId="77777777" w:rsidTr="00C014EC">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38D7F2B8" w14:textId="77777777" w:rsidR="00201526" w:rsidRPr="007C4493" w:rsidRDefault="00201526" w:rsidP="00201526">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4F875449" w14:textId="77777777" w:rsidR="00201526" w:rsidRPr="007C4493" w:rsidRDefault="00201526" w:rsidP="00201526">
            <w:pPr>
              <w:rPr>
                <w:rFonts w:ascii="Arial" w:hAnsi="Arial" w:cs="Arial"/>
                <w:color w:val="000000"/>
                <w:sz w:val="16"/>
                <w:szCs w:val="16"/>
              </w:rPr>
            </w:pPr>
            <w:r w:rsidRPr="007C4493">
              <w:rPr>
                <w:rFonts w:ascii="Arial" w:hAnsi="Arial" w:cs="Arial"/>
                <w:color w:val="000000"/>
                <w:sz w:val="16"/>
                <w:szCs w:val="16"/>
              </w:rPr>
              <w:t>Medio</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5B94D63" w14:textId="4D4B579F"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4,26</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0DA92C7" w14:textId="22FF9CAD"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4,00</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C3D9E87" w14:textId="4E03012B"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3,32</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42F790C3" w14:textId="08D98053"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2,78</w:t>
            </w:r>
          </w:p>
        </w:tc>
      </w:tr>
      <w:tr w:rsidR="00201526" w:rsidRPr="007C4493" w14:paraId="13046F47" w14:textId="77777777" w:rsidTr="00C014EC">
        <w:trPr>
          <w:trHeight w:val="288"/>
          <w:jc w:val="center"/>
        </w:trPr>
        <w:tc>
          <w:tcPr>
            <w:tcW w:w="1339" w:type="dxa"/>
            <w:tcBorders>
              <w:top w:val="nil"/>
              <w:left w:val="single" w:sz="4" w:space="0" w:color="auto"/>
              <w:bottom w:val="single" w:sz="4" w:space="0" w:color="auto"/>
              <w:right w:val="single" w:sz="4" w:space="0" w:color="auto"/>
            </w:tcBorders>
            <w:shd w:val="clear" w:color="000000" w:fill="FFFFFF"/>
            <w:noWrap/>
            <w:vAlign w:val="center"/>
            <w:hideMark/>
          </w:tcPr>
          <w:p w14:paraId="0283769C" w14:textId="77777777" w:rsidR="00201526" w:rsidRPr="007C4493" w:rsidRDefault="00201526" w:rsidP="00201526">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0869F67F" w14:textId="77777777" w:rsidR="00201526" w:rsidRPr="007C4493" w:rsidRDefault="00201526" w:rsidP="00201526">
            <w:pPr>
              <w:rPr>
                <w:rFonts w:ascii="Arial" w:hAnsi="Arial" w:cs="Arial"/>
                <w:color w:val="000000"/>
                <w:sz w:val="16"/>
                <w:szCs w:val="16"/>
              </w:rPr>
            </w:pPr>
            <w:r w:rsidRPr="007C4493">
              <w:rPr>
                <w:rFonts w:ascii="Arial" w:hAnsi="Arial" w:cs="Arial"/>
                <w:color w:val="000000"/>
                <w:sz w:val="16"/>
                <w:szCs w:val="16"/>
              </w:rPr>
              <w:t>Optimista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42225FA" w14:textId="325424F7"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5,48</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D17CF5E" w14:textId="622DDA26"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5,14</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57AEE63" w14:textId="49957C2C"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4,27</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818305F" w14:textId="791E0E24"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3,58</w:t>
            </w:r>
          </w:p>
        </w:tc>
      </w:tr>
      <w:tr w:rsidR="00201526" w:rsidRPr="007C4493" w14:paraId="16E8EC7A" w14:textId="77777777" w:rsidTr="00C014EC">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2C2DA433" w14:textId="77777777" w:rsidR="00201526" w:rsidRPr="007C4493" w:rsidRDefault="00201526" w:rsidP="00201526">
            <w:pPr>
              <w:jc w:val="center"/>
              <w:rPr>
                <w:rFonts w:ascii="Arial" w:hAnsi="Arial" w:cs="Arial"/>
                <w:color w:val="000000"/>
                <w:sz w:val="16"/>
                <w:szCs w:val="16"/>
              </w:rPr>
            </w:pPr>
            <w:r w:rsidRPr="007C4493">
              <w:rPr>
                <w:rFonts w:ascii="Arial" w:hAnsi="Arial" w:cs="Arial"/>
                <w:color w:val="000000"/>
                <w:sz w:val="16"/>
                <w:szCs w:val="16"/>
              </w:rPr>
              <w:t>Rápido</w:t>
            </w:r>
          </w:p>
        </w:tc>
        <w:tc>
          <w:tcPr>
            <w:tcW w:w="1728" w:type="dxa"/>
            <w:tcBorders>
              <w:top w:val="nil"/>
              <w:left w:val="nil"/>
              <w:bottom w:val="single" w:sz="4" w:space="0" w:color="auto"/>
              <w:right w:val="single" w:sz="4" w:space="0" w:color="auto"/>
            </w:tcBorders>
            <w:shd w:val="clear" w:color="000000" w:fill="FFFFFF"/>
            <w:noWrap/>
            <w:vAlign w:val="center"/>
            <w:hideMark/>
          </w:tcPr>
          <w:p w14:paraId="6E011536" w14:textId="77777777" w:rsidR="00201526" w:rsidRPr="007C4493" w:rsidRDefault="00201526" w:rsidP="00201526">
            <w:pPr>
              <w:rPr>
                <w:rFonts w:ascii="Arial" w:hAnsi="Arial" w:cs="Arial"/>
                <w:color w:val="000000"/>
                <w:sz w:val="16"/>
                <w:szCs w:val="16"/>
              </w:rPr>
            </w:pPr>
            <w:r w:rsidRPr="007C4493">
              <w:rPr>
                <w:rFonts w:ascii="Arial" w:hAnsi="Arial" w:cs="Arial"/>
                <w:color w:val="000000"/>
                <w:sz w:val="16"/>
                <w:szCs w:val="16"/>
              </w:rPr>
              <w:t>Pesimista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A97ACE8" w14:textId="68541813"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3,68</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7D11686" w14:textId="2E665169"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3,46</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B59EF24" w14:textId="15F2BBF8"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2,90</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4381777" w14:textId="5897C45D"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2,44</w:t>
            </w:r>
          </w:p>
        </w:tc>
      </w:tr>
      <w:tr w:rsidR="00201526" w:rsidRPr="007C4493" w14:paraId="4218A083" w14:textId="77777777" w:rsidTr="00C014EC">
        <w:trPr>
          <w:trHeight w:val="288"/>
          <w:jc w:val="center"/>
        </w:trPr>
        <w:tc>
          <w:tcPr>
            <w:tcW w:w="1339" w:type="dxa"/>
            <w:tcBorders>
              <w:top w:val="nil"/>
              <w:left w:val="single" w:sz="4" w:space="0" w:color="auto"/>
              <w:bottom w:val="nil"/>
              <w:right w:val="single" w:sz="4" w:space="0" w:color="auto"/>
            </w:tcBorders>
            <w:shd w:val="clear" w:color="000000" w:fill="FFFFFF"/>
            <w:noWrap/>
            <w:vAlign w:val="center"/>
            <w:hideMark/>
          </w:tcPr>
          <w:p w14:paraId="00C4B94C" w14:textId="77777777" w:rsidR="00201526" w:rsidRPr="007C4493" w:rsidRDefault="00201526" w:rsidP="00201526">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16055C33" w14:textId="77777777" w:rsidR="00201526" w:rsidRPr="007C4493" w:rsidRDefault="00201526" w:rsidP="00201526">
            <w:pPr>
              <w:rPr>
                <w:rFonts w:ascii="Arial" w:hAnsi="Arial" w:cs="Arial"/>
                <w:color w:val="000000"/>
                <w:sz w:val="16"/>
                <w:szCs w:val="16"/>
              </w:rPr>
            </w:pPr>
            <w:r w:rsidRPr="007C4493">
              <w:rPr>
                <w:rFonts w:ascii="Arial" w:hAnsi="Arial" w:cs="Arial"/>
                <w:color w:val="000000"/>
                <w:sz w:val="16"/>
                <w:szCs w:val="16"/>
              </w:rPr>
              <w:t>Medio</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6AEBDDC" w14:textId="46D75AAC"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5,16</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8B68224" w14:textId="781278AE"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4,85</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6CAB7FBC" w14:textId="36BD0D4E"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4,05</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0A503547" w14:textId="58D517C2"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3,42</w:t>
            </w:r>
          </w:p>
        </w:tc>
      </w:tr>
      <w:tr w:rsidR="00201526" w:rsidRPr="007C4493" w14:paraId="3B778D5F" w14:textId="77777777" w:rsidTr="00C014EC">
        <w:trPr>
          <w:trHeight w:val="288"/>
          <w:jc w:val="center"/>
        </w:trPr>
        <w:tc>
          <w:tcPr>
            <w:tcW w:w="1339" w:type="dxa"/>
            <w:tcBorders>
              <w:top w:val="nil"/>
              <w:left w:val="single" w:sz="4" w:space="0" w:color="auto"/>
              <w:bottom w:val="single" w:sz="4" w:space="0" w:color="auto"/>
              <w:right w:val="single" w:sz="4" w:space="0" w:color="auto"/>
            </w:tcBorders>
            <w:shd w:val="clear" w:color="000000" w:fill="FFFFFF"/>
            <w:noWrap/>
            <w:vAlign w:val="center"/>
            <w:hideMark/>
          </w:tcPr>
          <w:p w14:paraId="45D29283" w14:textId="77777777" w:rsidR="00201526" w:rsidRPr="007C4493" w:rsidRDefault="00201526" w:rsidP="00201526">
            <w:pPr>
              <w:jc w:val="center"/>
              <w:rPr>
                <w:rFonts w:ascii="Arial" w:hAnsi="Arial" w:cs="Arial"/>
                <w:color w:val="000000"/>
                <w:sz w:val="16"/>
                <w:szCs w:val="16"/>
              </w:rPr>
            </w:pPr>
            <w:r w:rsidRPr="007C4493">
              <w:rPr>
                <w:rFonts w:ascii="Arial" w:hAnsi="Arial" w:cs="Arial"/>
                <w:color w:val="000000"/>
                <w:sz w:val="16"/>
                <w:szCs w:val="16"/>
              </w:rPr>
              <w:t> </w:t>
            </w:r>
          </w:p>
        </w:tc>
        <w:tc>
          <w:tcPr>
            <w:tcW w:w="1728" w:type="dxa"/>
            <w:tcBorders>
              <w:top w:val="nil"/>
              <w:left w:val="nil"/>
              <w:bottom w:val="single" w:sz="4" w:space="0" w:color="auto"/>
              <w:right w:val="single" w:sz="4" w:space="0" w:color="auto"/>
            </w:tcBorders>
            <w:shd w:val="clear" w:color="000000" w:fill="FFFFFF"/>
            <w:noWrap/>
            <w:vAlign w:val="center"/>
            <w:hideMark/>
          </w:tcPr>
          <w:p w14:paraId="3A4B8C06" w14:textId="77777777" w:rsidR="00201526" w:rsidRPr="007C4493" w:rsidRDefault="00201526" w:rsidP="00201526">
            <w:pPr>
              <w:rPr>
                <w:rFonts w:ascii="Arial" w:hAnsi="Arial" w:cs="Arial"/>
                <w:color w:val="000000"/>
                <w:sz w:val="16"/>
                <w:szCs w:val="16"/>
              </w:rPr>
            </w:pPr>
            <w:r w:rsidRPr="007C4493">
              <w:rPr>
                <w:rFonts w:ascii="Arial" w:hAnsi="Arial" w:cs="Arial"/>
                <w:color w:val="000000"/>
                <w:sz w:val="16"/>
                <w:szCs w:val="16"/>
              </w:rPr>
              <w:t>Optimista</w:t>
            </w:r>
          </w:p>
        </w:tc>
        <w:tc>
          <w:tcPr>
            <w:tcW w:w="978"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F479340" w14:textId="6E71AB67"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6,63</w:t>
            </w:r>
          </w:p>
        </w:tc>
        <w:tc>
          <w:tcPr>
            <w:tcW w:w="99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77E8EC9E" w14:textId="634C1FA0"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6,23</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3DCA58AB" w14:textId="3D9F4475"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5,21</w:t>
            </w:r>
          </w:p>
        </w:tc>
        <w:tc>
          <w:tcPr>
            <w:tcW w:w="90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16B867EC" w14:textId="2AEA3FE7" w:rsidR="00201526" w:rsidRPr="00201526" w:rsidRDefault="00201526" w:rsidP="00201526">
            <w:pPr>
              <w:jc w:val="center"/>
              <w:rPr>
                <w:rFonts w:ascii="Arial" w:hAnsi="Arial" w:cs="Arial"/>
                <w:color w:val="000000"/>
                <w:sz w:val="16"/>
                <w:szCs w:val="16"/>
              </w:rPr>
            </w:pPr>
            <w:r w:rsidRPr="00201526">
              <w:rPr>
                <w:rFonts w:ascii="Arial" w:hAnsi="Arial" w:cs="Arial"/>
                <w:color w:val="000000"/>
                <w:sz w:val="16"/>
                <w:szCs w:val="16"/>
              </w:rPr>
              <w:t>4,40</w:t>
            </w:r>
          </w:p>
        </w:tc>
      </w:tr>
    </w:tbl>
    <w:p w14:paraId="747737AC" w14:textId="77777777" w:rsidR="007C4493" w:rsidRDefault="007C4493" w:rsidP="007C4493">
      <w:pPr>
        <w:autoSpaceDE w:val="0"/>
        <w:autoSpaceDN w:val="0"/>
        <w:adjustRightInd w:val="0"/>
        <w:jc w:val="center"/>
        <w:rPr>
          <w:rFonts w:ascii="Arial" w:hAnsi="Arial" w:cs="Arial"/>
          <w:noProof/>
          <w:sz w:val="16"/>
          <w:szCs w:val="16"/>
          <w:lang w:eastAsia="it-IT"/>
        </w:rPr>
      </w:pPr>
    </w:p>
    <w:p w14:paraId="1C9FAA3D" w14:textId="77777777" w:rsidR="007C4493" w:rsidRPr="00210A53" w:rsidRDefault="007C4493" w:rsidP="007C4493">
      <w:pPr>
        <w:autoSpaceDE w:val="0"/>
        <w:autoSpaceDN w:val="0"/>
        <w:adjustRightInd w:val="0"/>
        <w:jc w:val="center"/>
        <w:rPr>
          <w:rFonts w:ascii="Arial" w:hAnsi="Arial" w:cs="Arial"/>
          <w:sz w:val="18"/>
          <w:szCs w:val="16"/>
        </w:rPr>
      </w:pPr>
      <w:r w:rsidRPr="00210A53">
        <w:rPr>
          <w:rFonts w:ascii="Arial" w:hAnsi="Arial" w:cs="Arial"/>
          <w:sz w:val="18"/>
          <w:szCs w:val="16"/>
        </w:rPr>
        <w:t>Nota: En verde se resaltan los valores positivos de la razón beneficio/costo.</w:t>
      </w:r>
    </w:p>
    <w:p w14:paraId="3452973D" w14:textId="77777777" w:rsidR="007C4493" w:rsidRDefault="007C4493" w:rsidP="007C4493">
      <w:pPr>
        <w:autoSpaceDE w:val="0"/>
        <w:autoSpaceDN w:val="0"/>
        <w:adjustRightInd w:val="0"/>
        <w:jc w:val="center"/>
        <w:rPr>
          <w:rFonts w:ascii="Arial" w:hAnsi="Arial" w:cs="Arial"/>
          <w:sz w:val="18"/>
          <w:szCs w:val="16"/>
        </w:rPr>
      </w:pPr>
      <w:r w:rsidRPr="00210A53">
        <w:rPr>
          <w:rFonts w:ascii="Arial" w:hAnsi="Arial" w:cs="Arial"/>
          <w:sz w:val="18"/>
          <w:szCs w:val="16"/>
        </w:rPr>
        <w:t>Fuente: Elaboración de los autores.</w:t>
      </w:r>
    </w:p>
    <w:p w14:paraId="26171940" w14:textId="77777777" w:rsidR="007C4493" w:rsidRDefault="007C4493">
      <w:pPr>
        <w:rPr>
          <w:rFonts w:ascii="Arial" w:hAnsi="Arial" w:cs="Arial"/>
          <w:b/>
          <w:bCs/>
          <w:smallCaps/>
          <w:color w:val="000000"/>
          <w:sz w:val="20"/>
          <w:szCs w:val="20"/>
        </w:rPr>
      </w:pPr>
    </w:p>
    <w:p w14:paraId="7A10969A" w14:textId="0CBF0C03" w:rsidR="00E22BB9" w:rsidRPr="003C344A" w:rsidRDefault="00E22BB9" w:rsidP="00E22BB9">
      <w:pPr>
        <w:spacing w:before="120" w:after="120"/>
        <w:jc w:val="both"/>
        <w:rPr>
          <w:rFonts w:ascii="Arial" w:hAnsi="Arial" w:cs="Arial"/>
          <w:sz w:val="22"/>
          <w:szCs w:val="22"/>
        </w:rPr>
      </w:pPr>
      <w:r w:rsidRPr="00210A53">
        <w:rPr>
          <w:rFonts w:ascii="Arial" w:hAnsi="Arial" w:cs="Arial"/>
          <w:sz w:val="22"/>
          <w:szCs w:val="22"/>
        </w:rPr>
        <w:t xml:space="preserve">También se ha estimado la tasa interna de retorno (TIR), es decir la tasa de descuento con la que el valor presente neto (VPN) es igual a cero, para el escenario de cobertura media con vector de gradualidad regular. Hemos </w:t>
      </w:r>
      <w:r w:rsidRPr="003C344A">
        <w:rPr>
          <w:rFonts w:ascii="Arial" w:hAnsi="Arial" w:cs="Arial"/>
          <w:sz w:val="22"/>
          <w:szCs w:val="22"/>
        </w:rPr>
        <w:t>calculado los flujos de caja esperados, considerando los beneficios del programa menos sus costos en valores corrientes (Tabla 1</w:t>
      </w:r>
      <w:r w:rsidR="00E938C7" w:rsidRPr="003C344A">
        <w:rPr>
          <w:rFonts w:ascii="Arial" w:hAnsi="Arial" w:cs="Arial"/>
          <w:sz w:val="22"/>
          <w:szCs w:val="22"/>
        </w:rPr>
        <w:t>3</w:t>
      </w:r>
      <w:r w:rsidRPr="003C344A">
        <w:rPr>
          <w:rFonts w:ascii="Arial" w:hAnsi="Arial" w:cs="Arial"/>
          <w:sz w:val="22"/>
          <w:szCs w:val="22"/>
        </w:rPr>
        <w:t>). En el escenario más realista, es decir el de cobertura media con vector de gradualidad regular, el VPN del programa considerando una tasa de descuento del 3% es US$</w:t>
      </w:r>
      <w:r w:rsidR="009527A5" w:rsidRPr="003C344A">
        <w:rPr>
          <w:rFonts w:ascii="Arial" w:hAnsi="Arial" w:cs="Arial"/>
          <w:sz w:val="22"/>
          <w:szCs w:val="22"/>
        </w:rPr>
        <w:t>499,966</w:t>
      </w:r>
      <w:r w:rsidRPr="003C344A">
        <w:rPr>
          <w:rFonts w:ascii="Arial" w:hAnsi="Arial" w:cs="Arial"/>
          <w:sz w:val="22"/>
          <w:szCs w:val="22"/>
        </w:rPr>
        <w:t xml:space="preserve"> y la TIR es </w:t>
      </w:r>
      <w:r w:rsidR="009527A5" w:rsidRPr="003C344A">
        <w:rPr>
          <w:rFonts w:ascii="Arial" w:hAnsi="Arial" w:cs="Arial"/>
          <w:sz w:val="22"/>
          <w:szCs w:val="22"/>
        </w:rPr>
        <w:t>2</w:t>
      </w:r>
      <w:r w:rsidR="007522C5" w:rsidRPr="003C344A">
        <w:rPr>
          <w:rFonts w:ascii="Arial" w:hAnsi="Arial" w:cs="Arial"/>
          <w:sz w:val="22"/>
          <w:szCs w:val="22"/>
        </w:rPr>
        <w:t>6</w:t>
      </w:r>
      <w:r w:rsidRPr="003C344A">
        <w:rPr>
          <w:rFonts w:ascii="Arial" w:hAnsi="Arial" w:cs="Arial"/>
          <w:sz w:val="22"/>
          <w:szCs w:val="22"/>
        </w:rPr>
        <w:t xml:space="preserve">%. </w:t>
      </w:r>
    </w:p>
    <w:p w14:paraId="696E852F" w14:textId="77777777" w:rsidR="00E22BB9" w:rsidRPr="003C344A" w:rsidRDefault="00E22BB9" w:rsidP="00E22BB9">
      <w:pPr>
        <w:keepNext/>
        <w:jc w:val="center"/>
        <w:rPr>
          <w:rFonts w:ascii="Arial" w:eastAsia="Cambria" w:hAnsi="Arial" w:cs="Arial"/>
          <w:b/>
          <w:bCs/>
          <w:sz w:val="18"/>
          <w:szCs w:val="20"/>
        </w:rPr>
      </w:pPr>
    </w:p>
    <w:p w14:paraId="4FF84400" w14:textId="76488BF2" w:rsidR="00E22BB9" w:rsidRPr="00EE10BC" w:rsidRDefault="00E22BB9" w:rsidP="00E22BB9">
      <w:pPr>
        <w:keepNext/>
        <w:jc w:val="center"/>
        <w:rPr>
          <w:rFonts w:ascii="Arial" w:eastAsia="Cambria" w:hAnsi="Arial" w:cs="Arial"/>
          <w:b/>
          <w:bCs/>
          <w:sz w:val="18"/>
          <w:szCs w:val="20"/>
        </w:rPr>
      </w:pPr>
      <w:r w:rsidRPr="003C344A">
        <w:rPr>
          <w:rFonts w:ascii="Arial" w:eastAsia="Cambria" w:hAnsi="Arial" w:cs="Arial"/>
          <w:b/>
          <w:bCs/>
          <w:sz w:val="18"/>
          <w:szCs w:val="20"/>
        </w:rPr>
        <w:t>Tabla 1</w:t>
      </w:r>
      <w:r w:rsidR="00E938C7" w:rsidRPr="003C344A">
        <w:rPr>
          <w:rFonts w:ascii="Arial" w:eastAsia="Cambria" w:hAnsi="Arial" w:cs="Arial"/>
          <w:b/>
          <w:bCs/>
          <w:sz w:val="18"/>
          <w:szCs w:val="20"/>
        </w:rPr>
        <w:t>3</w:t>
      </w:r>
      <w:r w:rsidRPr="003C344A">
        <w:rPr>
          <w:rFonts w:ascii="Arial" w:eastAsia="Cambria" w:hAnsi="Arial" w:cs="Arial"/>
          <w:b/>
          <w:bCs/>
          <w:sz w:val="18"/>
          <w:szCs w:val="20"/>
        </w:rPr>
        <w:t xml:space="preserve">. Flujos de caja (beneficios - costos), </w:t>
      </w:r>
      <w:r w:rsidR="00467BA3" w:rsidRPr="003C344A">
        <w:rPr>
          <w:rFonts w:ascii="Arial" w:eastAsia="Cambria" w:hAnsi="Arial" w:cs="Arial"/>
          <w:b/>
          <w:bCs/>
          <w:sz w:val="18"/>
          <w:szCs w:val="20"/>
        </w:rPr>
        <w:t>2021-2026</w:t>
      </w:r>
    </w:p>
    <w:p w14:paraId="02558B5F" w14:textId="77777777" w:rsidR="00E22BB9" w:rsidRPr="00EE10BC" w:rsidRDefault="00E22BB9" w:rsidP="00E22BB9">
      <w:pPr>
        <w:keepNext/>
        <w:jc w:val="both"/>
        <w:rPr>
          <w:rFonts w:ascii="Arial" w:hAnsi="Arial" w:cs="Arial"/>
          <w:sz w:val="22"/>
          <w:szCs w:val="22"/>
        </w:rPr>
      </w:pPr>
    </w:p>
    <w:tbl>
      <w:tblPr>
        <w:tblStyle w:val="PlainTable2"/>
        <w:tblW w:w="0" w:type="auto"/>
        <w:jc w:val="center"/>
        <w:tblLook w:val="04A0" w:firstRow="1" w:lastRow="0" w:firstColumn="1" w:lastColumn="0" w:noHBand="0" w:noVBand="1"/>
      </w:tblPr>
      <w:tblGrid>
        <w:gridCol w:w="1296"/>
        <w:gridCol w:w="1176"/>
        <w:gridCol w:w="1176"/>
        <w:gridCol w:w="1176"/>
        <w:gridCol w:w="1176"/>
        <w:gridCol w:w="1296"/>
        <w:gridCol w:w="1296"/>
      </w:tblGrid>
      <w:tr w:rsidR="00C77D11" w:rsidRPr="00B627DF" w14:paraId="121724DD" w14:textId="77777777" w:rsidTr="00C77D11">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26D0670C" w14:textId="77777777" w:rsidR="00C77D11" w:rsidRPr="00B627DF" w:rsidRDefault="00C77D11" w:rsidP="009601D5">
            <w:pPr>
              <w:keepNext/>
              <w:jc w:val="center"/>
              <w:rPr>
                <w:rFonts w:ascii="Arial" w:hAnsi="Arial" w:cs="Arial"/>
                <w:sz w:val="16"/>
                <w:szCs w:val="16"/>
              </w:rPr>
            </w:pPr>
          </w:p>
        </w:tc>
        <w:tc>
          <w:tcPr>
            <w:tcW w:w="1176" w:type="dxa"/>
            <w:vAlign w:val="center"/>
          </w:tcPr>
          <w:p w14:paraId="240DFF4B" w14:textId="093F6776" w:rsidR="00C77D11" w:rsidRPr="00B627DF" w:rsidRDefault="00C77D11" w:rsidP="00C77D11">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sz w:val="16"/>
                <w:szCs w:val="16"/>
              </w:rPr>
              <w:t>2021 (US$)</w:t>
            </w:r>
          </w:p>
        </w:tc>
        <w:tc>
          <w:tcPr>
            <w:tcW w:w="1176" w:type="dxa"/>
            <w:vAlign w:val="center"/>
          </w:tcPr>
          <w:p w14:paraId="2522FBC9" w14:textId="6BAF5915" w:rsidR="00C77D11" w:rsidRPr="00B627DF" w:rsidRDefault="00C77D11" w:rsidP="00C77D11">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sz w:val="16"/>
                <w:szCs w:val="16"/>
              </w:rPr>
              <w:t>2022 (US$)</w:t>
            </w:r>
          </w:p>
        </w:tc>
        <w:tc>
          <w:tcPr>
            <w:tcW w:w="1176" w:type="dxa"/>
            <w:vAlign w:val="center"/>
          </w:tcPr>
          <w:p w14:paraId="4807B91C" w14:textId="3B212F33" w:rsidR="00C77D11" w:rsidRPr="00B627DF" w:rsidRDefault="00C77D11" w:rsidP="00C77D11">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sz w:val="16"/>
                <w:szCs w:val="16"/>
              </w:rPr>
              <w:t>2023 (US$)</w:t>
            </w:r>
          </w:p>
        </w:tc>
        <w:tc>
          <w:tcPr>
            <w:tcW w:w="1176" w:type="dxa"/>
            <w:vAlign w:val="center"/>
          </w:tcPr>
          <w:p w14:paraId="6B555158" w14:textId="78EAC15D" w:rsidR="00C77D11" w:rsidRPr="00B627DF" w:rsidRDefault="00C77D11" w:rsidP="00C77D11">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sz w:val="16"/>
                <w:szCs w:val="16"/>
              </w:rPr>
              <w:t>2024 (US$)</w:t>
            </w:r>
          </w:p>
        </w:tc>
        <w:tc>
          <w:tcPr>
            <w:tcW w:w="1296" w:type="dxa"/>
            <w:vAlign w:val="center"/>
          </w:tcPr>
          <w:p w14:paraId="431E8592" w14:textId="2FDD35D9" w:rsidR="00C77D11" w:rsidRPr="00B627DF" w:rsidRDefault="00C77D11" w:rsidP="00C77D11">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sz w:val="16"/>
                <w:szCs w:val="16"/>
              </w:rPr>
              <w:t>2025 (US$)</w:t>
            </w:r>
          </w:p>
        </w:tc>
        <w:tc>
          <w:tcPr>
            <w:tcW w:w="1296" w:type="dxa"/>
            <w:vAlign w:val="center"/>
          </w:tcPr>
          <w:p w14:paraId="04F6FB66" w14:textId="236B9D6E" w:rsidR="00C77D11" w:rsidRPr="00B627DF" w:rsidRDefault="00C77D11" w:rsidP="00C77D11">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sz w:val="16"/>
                <w:szCs w:val="16"/>
              </w:rPr>
              <w:t>2026 (US$)</w:t>
            </w:r>
          </w:p>
        </w:tc>
      </w:tr>
      <w:tr w:rsidR="00B627DF" w:rsidRPr="00B627DF" w14:paraId="731EE99B" w14:textId="77777777" w:rsidTr="00C77D1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1CEDFD97" w14:textId="09675F11" w:rsidR="00B627DF" w:rsidRPr="00B627DF" w:rsidRDefault="00B627DF" w:rsidP="00B627DF">
            <w:pPr>
              <w:keepNext/>
              <w:rPr>
                <w:rFonts w:ascii="Arial" w:hAnsi="Arial" w:cs="Arial"/>
                <w:sz w:val="16"/>
                <w:szCs w:val="16"/>
              </w:rPr>
            </w:pPr>
            <w:r w:rsidRPr="00B627DF">
              <w:rPr>
                <w:rFonts w:ascii="Arial" w:hAnsi="Arial" w:cs="Arial"/>
                <w:sz w:val="16"/>
                <w:szCs w:val="16"/>
              </w:rPr>
              <w:t>Beneficios</w:t>
            </w:r>
          </w:p>
        </w:tc>
        <w:tc>
          <w:tcPr>
            <w:tcW w:w="1176" w:type="dxa"/>
            <w:vAlign w:val="center"/>
          </w:tcPr>
          <w:p w14:paraId="71265262" w14:textId="050970C0"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0</w:t>
            </w:r>
          </w:p>
        </w:tc>
        <w:tc>
          <w:tcPr>
            <w:tcW w:w="1176" w:type="dxa"/>
            <w:vAlign w:val="center"/>
          </w:tcPr>
          <w:p w14:paraId="162FF058" w14:textId="1A9A85C0"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B627DF">
              <w:rPr>
                <w:rFonts w:ascii="Arial" w:hAnsi="Arial" w:cs="Arial"/>
                <w:color w:val="000000"/>
                <w:sz w:val="16"/>
                <w:szCs w:val="16"/>
              </w:rPr>
              <w:t>0</w:t>
            </w:r>
          </w:p>
        </w:tc>
        <w:tc>
          <w:tcPr>
            <w:tcW w:w="1176" w:type="dxa"/>
            <w:vAlign w:val="center"/>
          </w:tcPr>
          <w:p w14:paraId="66337335" w14:textId="531BAAB1"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1,761,400</w:t>
            </w:r>
          </w:p>
        </w:tc>
        <w:tc>
          <w:tcPr>
            <w:tcW w:w="1176" w:type="dxa"/>
            <w:vAlign w:val="center"/>
          </w:tcPr>
          <w:p w14:paraId="5ED7B0F6" w14:textId="53731568"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2,137,442</w:t>
            </w:r>
          </w:p>
        </w:tc>
        <w:tc>
          <w:tcPr>
            <w:tcW w:w="1296" w:type="dxa"/>
            <w:vAlign w:val="center"/>
          </w:tcPr>
          <w:p w14:paraId="13ACBF1D" w14:textId="52FABF01"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3,602,452</w:t>
            </w:r>
          </w:p>
        </w:tc>
        <w:tc>
          <w:tcPr>
            <w:tcW w:w="1296" w:type="dxa"/>
            <w:vAlign w:val="center"/>
          </w:tcPr>
          <w:p w14:paraId="652C64AB" w14:textId="2354A32B"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5,464,427</w:t>
            </w:r>
          </w:p>
        </w:tc>
      </w:tr>
      <w:tr w:rsidR="00B627DF" w:rsidRPr="00B627DF" w14:paraId="2804801E" w14:textId="77777777" w:rsidTr="00C77D11">
        <w:trPr>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03F4D852" w14:textId="5DB6D250" w:rsidR="00B627DF" w:rsidRPr="00B627DF" w:rsidRDefault="00B627DF" w:rsidP="00B627DF">
            <w:pPr>
              <w:keepNext/>
              <w:rPr>
                <w:rFonts w:ascii="Arial" w:hAnsi="Arial" w:cs="Arial"/>
                <w:sz w:val="16"/>
                <w:szCs w:val="16"/>
              </w:rPr>
            </w:pPr>
            <w:r w:rsidRPr="00B627DF">
              <w:rPr>
                <w:rFonts w:ascii="Arial" w:hAnsi="Arial" w:cs="Arial"/>
                <w:sz w:val="16"/>
                <w:szCs w:val="16"/>
              </w:rPr>
              <w:t>Costos</w:t>
            </w:r>
          </w:p>
        </w:tc>
        <w:tc>
          <w:tcPr>
            <w:tcW w:w="1176" w:type="dxa"/>
            <w:vAlign w:val="center"/>
          </w:tcPr>
          <w:p w14:paraId="631B82C0" w14:textId="3977961E" w:rsidR="00B627DF" w:rsidRPr="00B627DF" w:rsidRDefault="00B627DF" w:rsidP="00B627DF">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0</w:t>
            </w:r>
          </w:p>
        </w:tc>
        <w:tc>
          <w:tcPr>
            <w:tcW w:w="1176" w:type="dxa"/>
            <w:vAlign w:val="center"/>
          </w:tcPr>
          <w:p w14:paraId="2E972538" w14:textId="55348D53" w:rsidR="00B627DF" w:rsidRPr="00B627DF" w:rsidRDefault="00B627DF" w:rsidP="00B627DF">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B627DF">
              <w:rPr>
                <w:rFonts w:ascii="Arial" w:hAnsi="Arial" w:cs="Arial"/>
                <w:color w:val="000000"/>
                <w:sz w:val="16"/>
                <w:szCs w:val="16"/>
              </w:rPr>
              <w:t>231,840</w:t>
            </w:r>
          </w:p>
        </w:tc>
        <w:tc>
          <w:tcPr>
            <w:tcW w:w="1176" w:type="dxa"/>
            <w:vAlign w:val="center"/>
          </w:tcPr>
          <w:p w14:paraId="3173EC19" w14:textId="1A43740F" w:rsidR="00B627DF" w:rsidRPr="00B627DF" w:rsidRDefault="00B627DF" w:rsidP="00B627DF">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498,410</w:t>
            </w:r>
          </w:p>
        </w:tc>
        <w:tc>
          <w:tcPr>
            <w:tcW w:w="1176" w:type="dxa"/>
            <w:vAlign w:val="center"/>
          </w:tcPr>
          <w:p w14:paraId="47354795" w14:textId="21A556EF" w:rsidR="00B627DF" w:rsidRPr="00B627DF" w:rsidRDefault="00B627DF" w:rsidP="00B627DF">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4,206,877</w:t>
            </w:r>
          </w:p>
        </w:tc>
        <w:tc>
          <w:tcPr>
            <w:tcW w:w="1296" w:type="dxa"/>
            <w:vAlign w:val="center"/>
          </w:tcPr>
          <w:p w14:paraId="62080A6D" w14:textId="54CFB372" w:rsidR="00B627DF" w:rsidRPr="00B627DF" w:rsidRDefault="00B627DF" w:rsidP="00B627DF">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5,034,877</w:t>
            </w:r>
          </w:p>
        </w:tc>
        <w:tc>
          <w:tcPr>
            <w:tcW w:w="1296" w:type="dxa"/>
            <w:vAlign w:val="center"/>
          </w:tcPr>
          <w:p w14:paraId="6984D5A1" w14:textId="6299828D" w:rsidR="00B627DF" w:rsidRPr="00B627DF" w:rsidRDefault="00B627DF" w:rsidP="00B627DF">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627DF">
              <w:rPr>
                <w:rFonts w:ascii="Arial" w:hAnsi="Arial" w:cs="Arial"/>
                <w:color w:val="000000"/>
                <w:sz w:val="16"/>
                <w:szCs w:val="16"/>
              </w:rPr>
              <w:t>2,315,746</w:t>
            </w:r>
          </w:p>
        </w:tc>
      </w:tr>
      <w:tr w:rsidR="00B627DF" w:rsidRPr="00B627DF" w14:paraId="0F8B408B" w14:textId="77777777" w:rsidTr="00C77D11">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4FB3D7B0" w14:textId="77777777" w:rsidR="00B627DF" w:rsidRPr="00B627DF" w:rsidRDefault="00B627DF" w:rsidP="00B627DF">
            <w:pPr>
              <w:keepNext/>
              <w:rPr>
                <w:rFonts w:ascii="Arial" w:hAnsi="Arial" w:cs="Arial"/>
                <w:sz w:val="16"/>
                <w:szCs w:val="16"/>
              </w:rPr>
            </w:pPr>
            <w:r w:rsidRPr="00B627DF">
              <w:rPr>
                <w:rFonts w:ascii="Arial" w:hAnsi="Arial" w:cs="Arial"/>
                <w:sz w:val="16"/>
                <w:szCs w:val="16"/>
              </w:rPr>
              <w:t>Flujo de caja</w:t>
            </w:r>
          </w:p>
        </w:tc>
        <w:tc>
          <w:tcPr>
            <w:tcW w:w="1176" w:type="dxa"/>
            <w:vAlign w:val="center"/>
          </w:tcPr>
          <w:p w14:paraId="41665E25" w14:textId="7A0CB4B1"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sz w:val="16"/>
                <w:szCs w:val="16"/>
              </w:rPr>
              <w:t>0</w:t>
            </w:r>
          </w:p>
        </w:tc>
        <w:tc>
          <w:tcPr>
            <w:tcW w:w="1176" w:type="dxa"/>
            <w:vAlign w:val="center"/>
          </w:tcPr>
          <w:p w14:paraId="5F3BACE6" w14:textId="581D5E86"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sz w:val="16"/>
                <w:szCs w:val="16"/>
              </w:rPr>
              <w:t>-231,840</w:t>
            </w:r>
          </w:p>
        </w:tc>
        <w:tc>
          <w:tcPr>
            <w:tcW w:w="1176" w:type="dxa"/>
            <w:vAlign w:val="center"/>
          </w:tcPr>
          <w:p w14:paraId="0F3677CD" w14:textId="57AC71D3"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sz w:val="16"/>
                <w:szCs w:val="16"/>
              </w:rPr>
              <w:t>1,262,990</w:t>
            </w:r>
          </w:p>
        </w:tc>
        <w:tc>
          <w:tcPr>
            <w:tcW w:w="1176" w:type="dxa"/>
            <w:vAlign w:val="center"/>
          </w:tcPr>
          <w:p w14:paraId="379EBC74" w14:textId="0BB1E460"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sz w:val="16"/>
                <w:szCs w:val="16"/>
              </w:rPr>
              <w:t>-2,069,435</w:t>
            </w:r>
          </w:p>
        </w:tc>
        <w:tc>
          <w:tcPr>
            <w:tcW w:w="1296" w:type="dxa"/>
            <w:vAlign w:val="center"/>
          </w:tcPr>
          <w:p w14:paraId="5FB084D5" w14:textId="1B34F95A"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sz w:val="16"/>
                <w:szCs w:val="16"/>
              </w:rPr>
              <w:t>-1,432,425</w:t>
            </w:r>
          </w:p>
        </w:tc>
        <w:tc>
          <w:tcPr>
            <w:tcW w:w="1296" w:type="dxa"/>
            <w:vAlign w:val="center"/>
          </w:tcPr>
          <w:p w14:paraId="11E4BF4A" w14:textId="155FE374" w:rsidR="00B627DF" w:rsidRPr="00B627DF" w:rsidRDefault="00B627DF" w:rsidP="00B627DF">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627DF">
              <w:rPr>
                <w:rFonts w:ascii="Arial" w:hAnsi="Arial" w:cs="Arial"/>
                <w:sz w:val="16"/>
                <w:szCs w:val="16"/>
              </w:rPr>
              <w:t>3,148,682</w:t>
            </w:r>
          </w:p>
        </w:tc>
      </w:tr>
    </w:tbl>
    <w:p w14:paraId="6C37D2FC" w14:textId="77777777" w:rsidR="00E22BB9" w:rsidRPr="00EE10BC" w:rsidRDefault="00E22BB9" w:rsidP="00E22BB9">
      <w:pPr>
        <w:keepNext/>
        <w:jc w:val="both"/>
        <w:rPr>
          <w:rFonts w:ascii="Arial" w:hAnsi="Arial" w:cs="Arial"/>
          <w:sz w:val="22"/>
          <w:szCs w:val="22"/>
        </w:rPr>
      </w:pPr>
    </w:p>
    <w:p w14:paraId="34A5FA1E" w14:textId="77777777" w:rsidR="00E22BB9" w:rsidRPr="00EE10BC" w:rsidRDefault="00E22BB9" w:rsidP="00E22BB9">
      <w:pPr>
        <w:autoSpaceDE w:val="0"/>
        <w:autoSpaceDN w:val="0"/>
        <w:adjustRightInd w:val="0"/>
        <w:jc w:val="center"/>
        <w:rPr>
          <w:rFonts w:ascii="Arial" w:hAnsi="Arial" w:cs="Arial"/>
          <w:sz w:val="18"/>
          <w:szCs w:val="16"/>
        </w:rPr>
      </w:pPr>
      <w:r w:rsidRPr="00EE10BC">
        <w:rPr>
          <w:rFonts w:ascii="Arial" w:hAnsi="Arial" w:cs="Arial"/>
          <w:sz w:val="18"/>
          <w:szCs w:val="16"/>
        </w:rPr>
        <w:t>Fuente: Elaboración de los autores.</w:t>
      </w:r>
    </w:p>
    <w:p w14:paraId="52509FD5" w14:textId="77777777" w:rsidR="00E22BB9" w:rsidRPr="00EE10BC" w:rsidRDefault="00E22BB9">
      <w:pPr>
        <w:rPr>
          <w:rFonts w:ascii="Arial" w:hAnsi="Arial" w:cs="Arial"/>
          <w:b/>
          <w:bCs/>
          <w:smallCaps/>
          <w:color w:val="000000"/>
          <w:sz w:val="20"/>
          <w:szCs w:val="20"/>
        </w:rPr>
      </w:pPr>
    </w:p>
    <w:p w14:paraId="3469755D" w14:textId="404053B6" w:rsidR="00B649DD" w:rsidRPr="00EE10BC" w:rsidRDefault="005E4066" w:rsidP="00B649DD">
      <w:pPr>
        <w:pStyle w:val="Heading3"/>
        <w:numPr>
          <w:ilvl w:val="0"/>
          <w:numId w:val="0"/>
        </w:numPr>
        <w:rPr>
          <w:rFonts w:ascii="Arial" w:hAnsi="Arial" w:cs="Arial"/>
          <w:color w:val="auto"/>
        </w:rPr>
      </w:pPr>
      <w:bookmarkStart w:id="44" w:name="_Toc100512109"/>
      <w:r w:rsidRPr="00EE10BC">
        <w:rPr>
          <w:rFonts w:ascii="Arial" w:hAnsi="Arial" w:cs="Arial"/>
          <w:color w:val="auto"/>
        </w:rPr>
        <w:t>Costo – beneficio conjunto</w:t>
      </w:r>
      <w:bookmarkEnd w:id="44"/>
    </w:p>
    <w:p w14:paraId="244A31B2" w14:textId="4D6133F5" w:rsidR="00B649DD" w:rsidRPr="00EE10BC" w:rsidRDefault="00B649DD">
      <w:pPr>
        <w:rPr>
          <w:rFonts w:ascii="Arial" w:hAnsi="Arial" w:cs="Arial"/>
          <w:b/>
          <w:bCs/>
          <w:smallCaps/>
          <w:color w:val="000000"/>
          <w:sz w:val="20"/>
          <w:szCs w:val="20"/>
        </w:rPr>
      </w:pPr>
    </w:p>
    <w:p w14:paraId="7400E76C" w14:textId="1946E244" w:rsidR="00084748" w:rsidRDefault="00084748" w:rsidP="00860424">
      <w:pPr>
        <w:jc w:val="both"/>
        <w:rPr>
          <w:rFonts w:ascii="Arial" w:hAnsi="Arial" w:cs="Arial"/>
          <w:sz w:val="22"/>
          <w:szCs w:val="22"/>
        </w:rPr>
      </w:pPr>
      <w:r w:rsidRPr="00D152BF">
        <w:rPr>
          <w:rFonts w:ascii="Arial" w:hAnsi="Arial" w:cs="Arial"/>
          <w:sz w:val="22"/>
          <w:szCs w:val="22"/>
        </w:rPr>
        <w:t>El costo del programa asciende a US$</w:t>
      </w:r>
      <w:r w:rsidR="00593B37">
        <w:rPr>
          <w:rFonts w:ascii="Arial" w:hAnsi="Arial" w:cs="Arial"/>
          <w:sz w:val="22"/>
          <w:szCs w:val="22"/>
        </w:rPr>
        <w:t>43.4</w:t>
      </w:r>
      <w:r w:rsidRPr="00D152BF">
        <w:rPr>
          <w:rFonts w:ascii="Arial" w:hAnsi="Arial" w:cs="Arial"/>
          <w:sz w:val="22"/>
          <w:szCs w:val="22"/>
        </w:rPr>
        <w:t xml:space="preserve"> millones, con un horizonte temporal del análisis económico de 202</w:t>
      </w:r>
      <w:r w:rsidR="00FE48C0" w:rsidRPr="00D152BF">
        <w:rPr>
          <w:rFonts w:ascii="Arial" w:hAnsi="Arial" w:cs="Arial"/>
          <w:sz w:val="22"/>
          <w:szCs w:val="22"/>
        </w:rPr>
        <w:t>2</w:t>
      </w:r>
      <w:r w:rsidRPr="00D152BF">
        <w:rPr>
          <w:rFonts w:ascii="Arial" w:hAnsi="Arial" w:cs="Arial"/>
          <w:sz w:val="22"/>
          <w:szCs w:val="22"/>
        </w:rPr>
        <w:t xml:space="preserve"> a 202</w:t>
      </w:r>
      <w:r w:rsidR="00FE48C0" w:rsidRPr="00D152BF">
        <w:rPr>
          <w:rFonts w:ascii="Arial" w:hAnsi="Arial" w:cs="Arial"/>
          <w:sz w:val="22"/>
          <w:szCs w:val="22"/>
        </w:rPr>
        <w:t>7</w:t>
      </w:r>
      <w:r w:rsidRPr="00D152BF">
        <w:rPr>
          <w:rFonts w:ascii="Arial" w:hAnsi="Arial" w:cs="Arial"/>
          <w:sz w:val="22"/>
          <w:szCs w:val="22"/>
        </w:rPr>
        <w:t>. En el análisis de corto plazo</w:t>
      </w:r>
      <w:r w:rsidRPr="00EE10BC">
        <w:rPr>
          <w:rFonts w:ascii="Arial" w:hAnsi="Arial" w:cs="Arial"/>
          <w:sz w:val="22"/>
          <w:szCs w:val="22"/>
        </w:rPr>
        <w:t>, se considera un vector de gradualidad regular, un escenario de cobertura efectiva medio y se utiliza una tasa de descuento de 3%. Para</w:t>
      </w:r>
      <w:r w:rsidR="006C2C4B">
        <w:rPr>
          <w:rFonts w:ascii="Arial" w:hAnsi="Arial" w:cs="Arial"/>
          <w:sz w:val="22"/>
          <w:szCs w:val="22"/>
        </w:rPr>
        <w:t> </w:t>
      </w:r>
      <w:r w:rsidRPr="00EE10BC">
        <w:rPr>
          <w:rFonts w:ascii="Arial" w:hAnsi="Arial" w:cs="Arial"/>
          <w:sz w:val="22"/>
          <w:szCs w:val="22"/>
        </w:rPr>
        <w:t>todo el programa, la razón costo beneficio en este escenario es:</w:t>
      </w:r>
      <w:r>
        <w:rPr>
          <w:rFonts w:ascii="Arial" w:hAnsi="Arial" w:cs="Arial"/>
          <w:sz w:val="22"/>
          <w:szCs w:val="22"/>
        </w:rPr>
        <w:t xml:space="preserve"> </w:t>
      </w:r>
    </w:p>
    <w:p w14:paraId="75E94F50" w14:textId="39341842" w:rsidR="00084748" w:rsidRDefault="00084748" w:rsidP="00860424">
      <w:pPr>
        <w:jc w:val="both"/>
        <w:rPr>
          <w:rFonts w:ascii="Arial" w:hAnsi="Arial" w:cs="Arial"/>
          <w:sz w:val="22"/>
          <w:szCs w:val="22"/>
        </w:rPr>
      </w:pPr>
    </w:p>
    <w:p w14:paraId="17B48047" w14:textId="23502B29" w:rsidR="00084748" w:rsidRPr="00433CBF" w:rsidRDefault="00084748" w:rsidP="00084748">
      <w:pPr>
        <w:pStyle w:val="ColorfulList-Accent110"/>
        <w:numPr>
          <w:ilvl w:val="0"/>
          <w:numId w:val="2"/>
        </w:numPr>
        <w:spacing w:before="120" w:after="100" w:afterAutospacing="1"/>
        <w:rPr>
          <w:rFonts w:ascii="Arial" w:hAnsi="Arial" w:cs="Arial"/>
          <w:lang w:val="it-IT"/>
        </w:rPr>
      </w:pPr>
      <w:r w:rsidRPr="00433CBF">
        <w:rPr>
          <w:rFonts w:ascii="Arial" w:hAnsi="Arial" w:cs="Arial"/>
          <w:lang w:val="es-ES"/>
        </w:rPr>
        <w:t>Costo del programa US$</w:t>
      </w:r>
      <w:r w:rsidR="00D152BF" w:rsidRPr="00433CBF">
        <w:rPr>
          <w:rFonts w:ascii="Arial" w:hAnsi="Arial" w:cs="Arial"/>
          <w:lang w:val="en-US"/>
        </w:rPr>
        <w:t>4</w:t>
      </w:r>
      <w:r w:rsidR="00593B37">
        <w:rPr>
          <w:rFonts w:ascii="Arial" w:hAnsi="Arial" w:cs="Arial"/>
          <w:lang w:val="en-US"/>
        </w:rPr>
        <w:t>3.350.00</w:t>
      </w:r>
    </w:p>
    <w:p w14:paraId="02A9D660" w14:textId="25721113" w:rsidR="00084748" w:rsidRPr="00433CBF" w:rsidRDefault="00084748" w:rsidP="556FAFAE">
      <w:pPr>
        <w:pStyle w:val="ColorfulList-Accent110"/>
        <w:numPr>
          <w:ilvl w:val="0"/>
          <w:numId w:val="2"/>
        </w:numPr>
        <w:spacing w:before="120" w:after="100" w:afterAutospacing="1"/>
        <w:rPr>
          <w:rFonts w:ascii="Arial" w:hAnsi="Arial" w:cs="Arial"/>
          <w:lang w:val="it-IT"/>
        </w:rPr>
      </w:pPr>
      <w:r w:rsidRPr="00433CBF">
        <w:rPr>
          <w:rFonts w:ascii="Arial" w:hAnsi="Arial" w:cs="Arial"/>
          <w:lang w:val="es-ES"/>
        </w:rPr>
        <w:t>Costos operativos: US</w:t>
      </w:r>
      <w:r w:rsidRPr="00433CBF">
        <w:rPr>
          <w:rFonts w:ascii="Arial" w:hAnsi="Arial" w:cs="Arial"/>
          <w:lang w:val="en-US"/>
        </w:rPr>
        <w:t>$</w:t>
      </w:r>
      <w:r w:rsidR="00D152BF" w:rsidRPr="00433CBF">
        <w:rPr>
          <w:rFonts w:ascii="Arial" w:hAnsi="Arial" w:cs="Arial"/>
          <w:lang w:val="en-US"/>
        </w:rPr>
        <w:t>46.</w:t>
      </w:r>
      <w:r w:rsidR="00593B37">
        <w:rPr>
          <w:rFonts w:ascii="Arial" w:hAnsi="Arial" w:cs="Arial"/>
          <w:lang w:val="en-US"/>
        </w:rPr>
        <w:t>132.896</w:t>
      </w:r>
    </w:p>
    <w:p w14:paraId="2C792059" w14:textId="6F690952" w:rsidR="00A71829" w:rsidRPr="00433CBF" w:rsidRDefault="00084748" w:rsidP="00A71829">
      <w:pPr>
        <w:pStyle w:val="ColorfulList-Accent110"/>
        <w:numPr>
          <w:ilvl w:val="0"/>
          <w:numId w:val="2"/>
        </w:numPr>
        <w:spacing w:before="120" w:after="100" w:afterAutospacing="1"/>
        <w:rPr>
          <w:rFonts w:ascii="Arial" w:hAnsi="Arial" w:cs="Arial"/>
          <w:b/>
          <w:bCs/>
          <w:lang w:val="it-IT"/>
        </w:rPr>
      </w:pPr>
      <w:r w:rsidRPr="00433CBF">
        <w:rPr>
          <w:rFonts w:ascii="Arial" w:hAnsi="Arial" w:cs="Arial"/>
          <w:lang w:val="es-ES"/>
        </w:rPr>
        <w:t>Costo total del programa: US$</w:t>
      </w:r>
      <w:r w:rsidR="00593B37">
        <w:rPr>
          <w:rFonts w:ascii="Arial" w:hAnsi="Arial" w:cs="Arial"/>
        </w:rPr>
        <w:t>89.482.896</w:t>
      </w:r>
    </w:p>
    <w:p w14:paraId="1B4A8C5E" w14:textId="13321A9B" w:rsidR="00084748" w:rsidRPr="00433CBF" w:rsidRDefault="00084748" w:rsidP="00084748">
      <w:pPr>
        <w:pStyle w:val="ColorfulList-Accent110"/>
        <w:numPr>
          <w:ilvl w:val="0"/>
          <w:numId w:val="2"/>
        </w:numPr>
        <w:spacing w:before="120" w:after="100" w:afterAutospacing="1"/>
        <w:rPr>
          <w:rFonts w:ascii="Arial" w:hAnsi="Arial" w:cs="Arial"/>
          <w:b/>
          <w:bCs/>
          <w:lang w:val="it-IT"/>
        </w:rPr>
      </w:pPr>
      <w:r w:rsidRPr="00433CBF">
        <w:rPr>
          <w:rFonts w:ascii="Arial" w:hAnsi="Arial" w:cs="Arial"/>
          <w:lang w:val="es-ES"/>
        </w:rPr>
        <w:t>Beneficios del programa a 202</w:t>
      </w:r>
      <w:r w:rsidR="00A71829" w:rsidRPr="00433CBF">
        <w:rPr>
          <w:rFonts w:ascii="Arial" w:hAnsi="Arial" w:cs="Arial"/>
          <w:lang w:val="es-ES"/>
        </w:rPr>
        <w:t>7</w:t>
      </w:r>
      <w:r w:rsidRPr="00433CBF">
        <w:rPr>
          <w:rFonts w:ascii="Arial" w:hAnsi="Arial" w:cs="Arial"/>
          <w:lang w:val="es-ES"/>
        </w:rPr>
        <w:t xml:space="preserve"> (tasa 3%): </w:t>
      </w:r>
      <w:r w:rsidR="00BA4438" w:rsidRPr="00433CBF">
        <w:rPr>
          <w:rFonts w:ascii="Arial" w:hAnsi="Arial" w:cs="Arial"/>
          <w:lang w:val="es-ES"/>
        </w:rPr>
        <w:t>US$</w:t>
      </w:r>
      <w:r w:rsidR="00D152BF" w:rsidRPr="00433CBF">
        <w:rPr>
          <w:rFonts w:ascii="Arial" w:hAnsi="Arial" w:cs="Arial"/>
          <w:lang w:val="es-ES"/>
        </w:rPr>
        <w:t>155.963.757</w:t>
      </w:r>
    </w:p>
    <w:p w14:paraId="15F7AC85" w14:textId="349641CD" w:rsidR="00084748" w:rsidRPr="00433CBF" w:rsidRDefault="00084748" w:rsidP="00084748">
      <w:pPr>
        <w:pStyle w:val="ColorfulList-Accent110"/>
        <w:numPr>
          <w:ilvl w:val="0"/>
          <w:numId w:val="2"/>
        </w:numPr>
        <w:spacing w:before="120" w:after="100" w:afterAutospacing="1" w:line="259" w:lineRule="auto"/>
        <w:rPr>
          <w:rFonts w:ascii="Arial" w:hAnsi="Arial" w:cs="Arial"/>
          <w:lang w:val="it-IT"/>
        </w:rPr>
      </w:pPr>
      <w:r w:rsidRPr="00433CBF">
        <w:rPr>
          <w:rFonts w:ascii="Arial" w:hAnsi="Arial" w:cs="Arial"/>
          <w:lang w:val="es-ES"/>
        </w:rPr>
        <w:t xml:space="preserve">Beneficio neto: </w:t>
      </w:r>
      <w:r w:rsidR="00BA4438" w:rsidRPr="00433CBF">
        <w:rPr>
          <w:rFonts w:ascii="Arial" w:hAnsi="Arial" w:cs="Arial"/>
          <w:lang w:val="es-ES"/>
        </w:rPr>
        <w:t>US$</w:t>
      </w:r>
      <w:r w:rsidR="00D152BF" w:rsidRPr="00433CBF">
        <w:rPr>
          <w:rFonts w:ascii="Arial" w:hAnsi="Arial" w:cs="Arial"/>
          <w:lang w:val="es-ES"/>
        </w:rPr>
        <w:t>6</w:t>
      </w:r>
      <w:r w:rsidR="00593B37">
        <w:rPr>
          <w:rFonts w:ascii="Arial" w:hAnsi="Arial" w:cs="Arial"/>
          <w:lang w:val="es-ES"/>
        </w:rPr>
        <w:t>6.480.862</w:t>
      </w:r>
    </w:p>
    <w:p w14:paraId="59A230E6" w14:textId="27E5495E" w:rsidR="00084748" w:rsidRPr="00433CBF" w:rsidRDefault="00084748" w:rsidP="00084748">
      <w:pPr>
        <w:pStyle w:val="ColorfulList-Accent110"/>
        <w:numPr>
          <w:ilvl w:val="0"/>
          <w:numId w:val="2"/>
        </w:numPr>
        <w:spacing w:before="120" w:after="100" w:afterAutospacing="1"/>
        <w:jc w:val="both"/>
        <w:rPr>
          <w:rFonts w:ascii="Arial" w:hAnsi="Arial" w:cs="Arial"/>
          <w:lang w:val="es-ES"/>
        </w:rPr>
      </w:pPr>
      <w:r w:rsidRPr="00433CBF">
        <w:rPr>
          <w:rFonts w:ascii="Arial" w:hAnsi="Arial" w:cs="Arial"/>
          <w:lang w:val="es-ES"/>
        </w:rPr>
        <w:t>Razón Beneficio / Costo =</w:t>
      </w:r>
      <w:r w:rsidR="00BA4438" w:rsidRPr="00433CBF">
        <w:rPr>
          <w:rFonts w:ascii="Arial" w:hAnsi="Arial" w:cs="Arial"/>
          <w:lang w:val="es-ES"/>
        </w:rPr>
        <w:t xml:space="preserve"> </w:t>
      </w:r>
      <w:r w:rsidR="00A71829" w:rsidRPr="00433CBF">
        <w:rPr>
          <w:rFonts w:ascii="Arial" w:hAnsi="Arial" w:cs="Arial"/>
          <w:lang w:val="es-ES"/>
        </w:rPr>
        <w:t>1.</w:t>
      </w:r>
      <w:r w:rsidR="00D152BF" w:rsidRPr="00433CBF">
        <w:rPr>
          <w:rFonts w:ascii="Arial" w:hAnsi="Arial" w:cs="Arial"/>
          <w:lang w:val="es-ES"/>
        </w:rPr>
        <w:t>7</w:t>
      </w:r>
      <w:r w:rsidR="00593B37">
        <w:rPr>
          <w:rFonts w:ascii="Arial" w:hAnsi="Arial" w:cs="Arial"/>
          <w:lang w:val="es-ES"/>
        </w:rPr>
        <w:t>4</w:t>
      </w:r>
    </w:p>
    <w:p w14:paraId="13265438" w14:textId="4079AE1A" w:rsidR="001E6263" w:rsidRPr="00433CBF" w:rsidRDefault="001E6263" w:rsidP="001E6263">
      <w:pPr>
        <w:pStyle w:val="ColorfulList-Accent110"/>
        <w:spacing w:before="120" w:after="100" w:afterAutospacing="1"/>
        <w:ind w:left="0"/>
        <w:jc w:val="both"/>
        <w:rPr>
          <w:rFonts w:ascii="Arial" w:hAnsi="Arial" w:cs="Arial"/>
          <w:lang w:val="es-ES"/>
        </w:rPr>
      </w:pPr>
    </w:p>
    <w:p w14:paraId="299BC24B" w14:textId="779C0B8C" w:rsidR="00C3112E" w:rsidRDefault="001E6263" w:rsidP="001E6263">
      <w:pPr>
        <w:pStyle w:val="ColorfulList-Accent110"/>
        <w:spacing w:before="120" w:after="100" w:afterAutospacing="1"/>
        <w:ind w:left="0"/>
        <w:jc w:val="both"/>
        <w:rPr>
          <w:rFonts w:ascii="Arial" w:hAnsi="Arial" w:cs="Arial"/>
        </w:rPr>
      </w:pPr>
      <w:r w:rsidRPr="00433CBF">
        <w:rPr>
          <w:rFonts w:ascii="Arial" w:hAnsi="Arial" w:cs="Arial"/>
          <w:lang w:val="es-ES"/>
        </w:rPr>
        <w:t xml:space="preserve">Adicionalmente, al calcular los flujos de caja de todo el programa, </w:t>
      </w:r>
      <w:r w:rsidRPr="00433CBF">
        <w:rPr>
          <w:rFonts w:ascii="Arial" w:hAnsi="Arial" w:cs="Arial"/>
        </w:rPr>
        <w:t>considerando los beneficios del programa menos sus costos en valores corrientes (Tabla 1</w:t>
      </w:r>
      <w:r w:rsidR="00514EA5" w:rsidRPr="00433CBF">
        <w:rPr>
          <w:rFonts w:ascii="Arial" w:hAnsi="Arial" w:cs="Arial"/>
        </w:rPr>
        <w:t>4</w:t>
      </w:r>
      <w:r w:rsidRPr="00433CBF">
        <w:rPr>
          <w:rFonts w:ascii="Arial" w:hAnsi="Arial" w:cs="Arial"/>
        </w:rPr>
        <w:t xml:space="preserve">), estimamos </w:t>
      </w:r>
      <w:r w:rsidR="005F385C" w:rsidRPr="00433CBF">
        <w:rPr>
          <w:rFonts w:ascii="Arial" w:hAnsi="Arial" w:cs="Arial"/>
        </w:rPr>
        <w:t>que,</w:t>
      </w:r>
      <w:r w:rsidRPr="00433CBF">
        <w:rPr>
          <w:rFonts w:ascii="Arial" w:hAnsi="Arial" w:cs="Arial"/>
        </w:rPr>
        <w:t xml:space="preserve"> en el escenario más realista, el VPN considerando una tasa de descuento del 3% es US$</w:t>
      </w:r>
      <w:r w:rsidR="00D152BF" w:rsidRPr="00433CBF">
        <w:rPr>
          <w:rFonts w:ascii="Arial" w:hAnsi="Arial" w:cs="Arial"/>
        </w:rPr>
        <w:t>12.548.256</w:t>
      </w:r>
      <w:r w:rsidRPr="00433CBF">
        <w:rPr>
          <w:rFonts w:ascii="Arial" w:hAnsi="Arial" w:cs="Arial"/>
        </w:rPr>
        <w:t xml:space="preserve"> y la TIR es </w:t>
      </w:r>
      <w:r w:rsidR="00FE48C0" w:rsidRPr="00433CBF">
        <w:rPr>
          <w:rFonts w:ascii="Arial" w:hAnsi="Arial" w:cs="Arial"/>
        </w:rPr>
        <w:t>2</w:t>
      </w:r>
      <w:r w:rsidR="00D152BF" w:rsidRPr="00433CBF">
        <w:rPr>
          <w:rFonts w:ascii="Arial" w:hAnsi="Arial" w:cs="Arial"/>
        </w:rPr>
        <w:t>2</w:t>
      </w:r>
      <w:r w:rsidRPr="00433CBF">
        <w:rPr>
          <w:rFonts w:ascii="Arial" w:hAnsi="Arial" w:cs="Arial"/>
        </w:rPr>
        <w:t>%.</w:t>
      </w:r>
      <w:r>
        <w:rPr>
          <w:rFonts w:ascii="Arial" w:hAnsi="Arial" w:cs="Arial"/>
        </w:rPr>
        <w:t xml:space="preserve"> </w:t>
      </w:r>
    </w:p>
    <w:p w14:paraId="161BAD1E" w14:textId="6F51ECDE" w:rsidR="00C3112E" w:rsidRPr="00ED3D2D" w:rsidRDefault="00C3112E" w:rsidP="00C3112E">
      <w:pPr>
        <w:keepNext/>
        <w:jc w:val="center"/>
        <w:rPr>
          <w:rFonts w:ascii="Arial" w:eastAsia="Cambria" w:hAnsi="Arial" w:cs="Arial"/>
          <w:b/>
          <w:bCs/>
          <w:sz w:val="18"/>
          <w:szCs w:val="20"/>
        </w:rPr>
      </w:pPr>
      <w:r w:rsidRPr="00AB4E85">
        <w:rPr>
          <w:rFonts w:ascii="Arial" w:eastAsia="Cambria" w:hAnsi="Arial" w:cs="Arial"/>
          <w:b/>
          <w:bCs/>
          <w:sz w:val="18"/>
          <w:szCs w:val="20"/>
        </w:rPr>
        <w:lastRenderedPageBreak/>
        <w:t>Tabla 1</w:t>
      </w:r>
      <w:r w:rsidR="00E33681" w:rsidRPr="00AB4E85">
        <w:rPr>
          <w:rFonts w:ascii="Arial" w:eastAsia="Cambria" w:hAnsi="Arial" w:cs="Arial"/>
          <w:b/>
          <w:bCs/>
          <w:sz w:val="18"/>
          <w:szCs w:val="20"/>
        </w:rPr>
        <w:t>4</w:t>
      </w:r>
      <w:r w:rsidRPr="00AB4E85">
        <w:rPr>
          <w:rFonts w:ascii="Arial" w:eastAsia="Cambria" w:hAnsi="Arial" w:cs="Arial"/>
          <w:b/>
          <w:bCs/>
          <w:sz w:val="18"/>
          <w:szCs w:val="20"/>
        </w:rPr>
        <w:t xml:space="preserve">. </w:t>
      </w:r>
      <w:r w:rsidRPr="00ED3D2D">
        <w:rPr>
          <w:rFonts w:ascii="Arial" w:eastAsia="Cambria" w:hAnsi="Arial" w:cs="Arial"/>
          <w:b/>
          <w:bCs/>
          <w:sz w:val="18"/>
          <w:szCs w:val="20"/>
        </w:rPr>
        <w:t>Flujos de caja (beneficios - costos), 20</w:t>
      </w:r>
      <w:r w:rsidR="00AB4E85" w:rsidRPr="00ED3D2D">
        <w:rPr>
          <w:rFonts w:ascii="Arial" w:eastAsia="Cambria" w:hAnsi="Arial" w:cs="Arial"/>
          <w:b/>
          <w:bCs/>
          <w:sz w:val="18"/>
          <w:szCs w:val="20"/>
        </w:rPr>
        <w:t>21</w:t>
      </w:r>
      <w:r w:rsidRPr="00ED3D2D">
        <w:rPr>
          <w:rFonts w:ascii="Arial" w:eastAsia="Cambria" w:hAnsi="Arial" w:cs="Arial"/>
          <w:b/>
          <w:bCs/>
          <w:sz w:val="18"/>
          <w:szCs w:val="20"/>
        </w:rPr>
        <w:t>-202</w:t>
      </w:r>
      <w:r w:rsidR="00AB4E85" w:rsidRPr="00ED3D2D">
        <w:rPr>
          <w:rFonts w:ascii="Arial" w:eastAsia="Cambria" w:hAnsi="Arial" w:cs="Arial"/>
          <w:b/>
          <w:bCs/>
          <w:sz w:val="18"/>
          <w:szCs w:val="20"/>
        </w:rPr>
        <w:t>6</w:t>
      </w:r>
    </w:p>
    <w:p w14:paraId="3ECD145E" w14:textId="651977FF" w:rsidR="00C3112E" w:rsidRPr="00ED3D2D" w:rsidRDefault="00C3112E" w:rsidP="00C3112E">
      <w:pPr>
        <w:keepNext/>
        <w:jc w:val="both"/>
        <w:rPr>
          <w:rFonts w:ascii="Arial" w:hAnsi="Arial" w:cs="Arial"/>
          <w:sz w:val="22"/>
          <w:szCs w:val="22"/>
        </w:rPr>
      </w:pPr>
    </w:p>
    <w:tbl>
      <w:tblPr>
        <w:tblStyle w:val="PlainTable2"/>
        <w:tblW w:w="0" w:type="auto"/>
        <w:jc w:val="center"/>
        <w:tblLook w:val="04A0" w:firstRow="1" w:lastRow="0" w:firstColumn="1" w:lastColumn="0" w:noHBand="0" w:noVBand="1"/>
      </w:tblPr>
      <w:tblGrid>
        <w:gridCol w:w="1296"/>
        <w:gridCol w:w="1176"/>
        <w:gridCol w:w="1296"/>
        <w:gridCol w:w="1296"/>
        <w:gridCol w:w="1296"/>
        <w:gridCol w:w="1296"/>
        <w:gridCol w:w="1296"/>
      </w:tblGrid>
      <w:tr w:rsidR="00E34E23" w:rsidRPr="00807C6B" w14:paraId="67C0162C" w14:textId="77777777" w:rsidTr="00E34E23">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09C230D2" w14:textId="77777777" w:rsidR="00E34E23" w:rsidRPr="00ED3D2D" w:rsidRDefault="00E34E23" w:rsidP="00C014EC">
            <w:pPr>
              <w:keepNext/>
              <w:jc w:val="center"/>
              <w:rPr>
                <w:rFonts w:ascii="Arial" w:hAnsi="Arial" w:cs="Arial"/>
                <w:sz w:val="16"/>
                <w:szCs w:val="16"/>
              </w:rPr>
            </w:pPr>
          </w:p>
        </w:tc>
        <w:tc>
          <w:tcPr>
            <w:tcW w:w="1176" w:type="dxa"/>
            <w:vAlign w:val="center"/>
          </w:tcPr>
          <w:p w14:paraId="79D7A74D" w14:textId="77777777" w:rsidR="00E34E23" w:rsidRPr="00ED3D2D" w:rsidRDefault="00E34E23" w:rsidP="00E34E2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3D2D">
              <w:rPr>
                <w:rFonts w:ascii="Arial" w:hAnsi="Arial" w:cs="Arial"/>
                <w:sz w:val="16"/>
                <w:szCs w:val="16"/>
              </w:rPr>
              <w:t>2021 (US$)</w:t>
            </w:r>
          </w:p>
        </w:tc>
        <w:tc>
          <w:tcPr>
            <w:tcW w:w="1296" w:type="dxa"/>
            <w:vAlign w:val="center"/>
          </w:tcPr>
          <w:p w14:paraId="613A2BF5" w14:textId="77777777" w:rsidR="00E34E23" w:rsidRPr="00ED3D2D" w:rsidRDefault="00E34E23" w:rsidP="00E34E2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3D2D">
              <w:rPr>
                <w:rFonts w:ascii="Arial" w:hAnsi="Arial" w:cs="Arial"/>
                <w:sz w:val="16"/>
                <w:szCs w:val="16"/>
              </w:rPr>
              <w:t>2022 (US$)</w:t>
            </w:r>
          </w:p>
        </w:tc>
        <w:tc>
          <w:tcPr>
            <w:tcW w:w="1296" w:type="dxa"/>
            <w:vAlign w:val="center"/>
          </w:tcPr>
          <w:p w14:paraId="0FB540EE" w14:textId="77777777" w:rsidR="00E34E23" w:rsidRPr="00ED3D2D" w:rsidRDefault="00E34E23" w:rsidP="00E34E2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3D2D">
              <w:rPr>
                <w:rFonts w:ascii="Arial" w:hAnsi="Arial" w:cs="Arial"/>
                <w:sz w:val="16"/>
                <w:szCs w:val="16"/>
              </w:rPr>
              <w:t>2023 (US$)</w:t>
            </w:r>
          </w:p>
        </w:tc>
        <w:tc>
          <w:tcPr>
            <w:tcW w:w="1296" w:type="dxa"/>
            <w:vAlign w:val="center"/>
          </w:tcPr>
          <w:p w14:paraId="3788A5A8" w14:textId="77777777" w:rsidR="00E34E23" w:rsidRPr="00ED3D2D" w:rsidRDefault="00E34E23" w:rsidP="00E34E2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3D2D">
              <w:rPr>
                <w:rFonts w:ascii="Arial" w:hAnsi="Arial" w:cs="Arial"/>
                <w:sz w:val="16"/>
                <w:szCs w:val="16"/>
              </w:rPr>
              <w:t>2024 (US$)</w:t>
            </w:r>
          </w:p>
        </w:tc>
        <w:tc>
          <w:tcPr>
            <w:tcW w:w="1296" w:type="dxa"/>
            <w:vAlign w:val="center"/>
          </w:tcPr>
          <w:p w14:paraId="1047E48B" w14:textId="77777777" w:rsidR="00E34E23" w:rsidRPr="00ED3D2D" w:rsidRDefault="00E34E23" w:rsidP="00E34E2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3D2D">
              <w:rPr>
                <w:rFonts w:ascii="Arial" w:hAnsi="Arial" w:cs="Arial"/>
                <w:sz w:val="16"/>
                <w:szCs w:val="16"/>
              </w:rPr>
              <w:t>2025 (US$)</w:t>
            </w:r>
          </w:p>
        </w:tc>
        <w:tc>
          <w:tcPr>
            <w:tcW w:w="1296" w:type="dxa"/>
            <w:vAlign w:val="center"/>
          </w:tcPr>
          <w:p w14:paraId="3117590D" w14:textId="77777777" w:rsidR="00E34E23" w:rsidRPr="00807C6B" w:rsidRDefault="00E34E23" w:rsidP="00E34E2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D3D2D">
              <w:rPr>
                <w:rFonts w:ascii="Arial" w:hAnsi="Arial" w:cs="Arial"/>
                <w:sz w:val="16"/>
                <w:szCs w:val="16"/>
              </w:rPr>
              <w:t>2026 (US$)</w:t>
            </w:r>
          </w:p>
        </w:tc>
      </w:tr>
      <w:tr w:rsidR="00807C6B" w:rsidRPr="00807C6B" w14:paraId="71653EEB" w14:textId="77777777" w:rsidTr="00E34E2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4F1F76A4" w14:textId="77777777" w:rsidR="00807C6B" w:rsidRPr="00807C6B" w:rsidRDefault="00807C6B" w:rsidP="00807C6B">
            <w:pPr>
              <w:keepNext/>
              <w:rPr>
                <w:rFonts w:ascii="Arial" w:hAnsi="Arial" w:cs="Arial"/>
                <w:sz w:val="16"/>
                <w:szCs w:val="16"/>
              </w:rPr>
            </w:pPr>
            <w:r w:rsidRPr="00807C6B">
              <w:rPr>
                <w:rFonts w:ascii="Arial" w:hAnsi="Arial" w:cs="Arial"/>
                <w:sz w:val="16"/>
                <w:szCs w:val="16"/>
              </w:rPr>
              <w:t>Beneficios</w:t>
            </w:r>
          </w:p>
        </w:tc>
        <w:tc>
          <w:tcPr>
            <w:tcW w:w="1176" w:type="dxa"/>
            <w:vAlign w:val="center"/>
          </w:tcPr>
          <w:p w14:paraId="0517578F" w14:textId="08FD41E3" w:rsidR="00807C6B" w:rsidRPr="00807C6B" w:rsidRDefault="00807C6B" w:rsidP="00807C6B">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0</w:t>
            </w:r>
          </w:p>
        </w:tc>
        <w:tc>
          <w:tcPr>
            <w:tcW w:w="1296" w:type="dxa"/>
            <w:vAlign w:val="center"/>
          </w:tcPr>
          <w:p w14:paraId="6B86C497" w14:textId="73059DC0" w:rsidR="00807C6B" w:rsidRPr="00807C6B" w:rsidRDefault="00807C6B" w:rsidP="00807C6B">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807C6B">
              <w:rPr>
                <w:rFonts w:ascii="Arial" w:hAnsi="Arial" w:cs="Arial"/>
                <w:color w:val="000000"/>
                <w:sz w:val="16"/>
                <w:szCs w:val="16"/>
              </w:rPr>
              <w:t>0</w:t>
            </w:r>
          </w:p>
        </w:tc>
        <w:tc>
          <w:tcPr>
            <w:tcW w:w="1296" w:type="dxa"/>
            <w:vAlign w:val="center"/>
          </w:tcPr>
          <w:p w14:paraId="2C30C52D" w14:textId="44D32E0B" w:rsidR="00807C6B" w:rsidRPr="00807C6B" w:rsidRDefault="00807C6B" w:rsidP="00807C6B">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1,761,400</w:t>
            </w:r>
          </w:p>
        </w:tc>
        <w:tc>
          <w:tcPr>
            <w:tcW w:w="1296" w:type="dxa"/>
            <w:vAlign w:val="center"/>
          </w:tcPr>
          <w:p w14:paraId="66090D9C" w14:textId="58A0607A" w:rsidR="00807C6B" w:rsidRPr="00807C6B" w:rsidRDefault="00807C6B" w:rsidP="00807C6B">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16,926,850</w:t>
            </w:r>
          </w:p>
        </w:tc>
        <w:tc>
          <w:tcPr>
            <w:tcW w:w="1296" w:type="dxa"/>
            <w:vAlign w:val="center"/>
          </w:tcPr>
          <w:p w14:paraId="045C17B5" w14:textId="32F45CA7" w:rsidR="00807C6B" w:rsidRPr="00807C6B" w:rsidRDefault="00807C6B" w:rsidP="00807C6B">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35,124,030</w:t>
            </w:r>
          </w:p>
        </w:tc>
        <w:tc>
          <w:tcPr>
            <w:tcW w:w="1296" w:type="dxa"/>
            <w:vAlign w:val="center"/>
          </w:tcPr>
          <w:p w14:paraId="5C061BCC" w14:textId="21BA8DA1" w:rsidR="00807C6B" w:rsidRPr="00807C6B" w:rsidRDefault="00807C6B" w:rsidP="00807C6B">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54,034,837</w:t>
            </w:r>
          </w:p>
        </w:tc>
      </w:tr>
      <w:tr w:rsidR="00807C6B" w:rsidRPr="00807C6B" w14:paraId="1A401290" w14:textId="77777777" w:rsidTr="00E34E23">
        <w:trPr>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542BA718" w14:textId="77777777" w:rsidR="00807C6B" w:rsidRPr="00807C6B" w:rsidRDefault="00807C6B" w:rsidP="00807C6B">
            <w:pPr>
              <w:keepNext/>
              <w:rPr>
                <w:rFonts w:ascii="Arial" w:hAnsi="Arial" w:cs="Arial"/>
                <w:sz w:val="16"/>
                <w:szCs w:val="16"/>
              </w:rPr>
            </w:pPr>
            <w:r w:rsidRPr="00807C6B">
              <w:rPr>
                <w:rFonts w:ascii="Arial" w:hAnsi="Arial" w:cs="Arial"/>
                <w:sz w:val="16"/>
                <w:szCs w:val="16"/>
              </w:rPr>
              <w:t>Costos</w:t>
            </w:r>
          </w:p>
        </w:tc>
        <w:tc>
          <w:tcPr>
            <w:tcW w:w="1176" w:type="dxa"/>
            <w:vAlign w:val="center"/>
          </w:tcPr>
          <w:p w14:paraId="29B628F3" w14:textId="41622DBD" w:rsidR="00807C6B" w:rsidRPr="00807C6B" w:rsidRDefault="00807C6B" w:rsidP="00807C6B">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0</w:t>
            </w:r>
          </w:p>
        </w:tc>
        <w:tc>
          <w:tcPr>
            <w:tcW w:w="1296" w:type="dxa"/>
            <w:vAlign w:val="center"/>
          </w:tcPr>
          <w:p w14:paraId="4C4DB4F7" w14:textId="7AC00799" w:rsidR="00807C6B" w:rsidRPr="00807C6B" w:rsidRDefault="00807C6B" w:rsidP="00807C6B">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807C6B">
              <w:rPr>
                <w:rFonts w:ascii="Arial" w:hAnsi="Arial" w:cs="Arial"/>
                <w:color w:val="000000"/>
                <w:sz w:val="16"/>
                <w:szCs w:val="16"/>
              </w:rPr>
              <w:t>4,226,067</w:t>
            </w:r>
          </w:p>
        </w:tc>
        <w:tc>
          <w:tcPr>
            <w:tcW w:w="1296" w:type="dxa"/>
            <w:vAlign w:val="center"/>
          </w:tcPr>
          <w:p w14:paraId="5C243488" w14:textId="2B90062E" w:rsidR="00807C6B" w:rsidRPr="00807C6B" w:rsidRDefault="00807C6B" w:rsidP="00807C6B">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4,420,603</w:t>
            </w:r>
          </w:p>
        </w:tc>
        <w:tc>
          <w:tcPr>
            <w:tcW w:w="1296" w:type="dxa"/>
            <w:vAlign w:val="center"/>
          </w:tcPr>
          <w:p w14:paraId="74002636" w14:textId="62244D78" w:rsidR="00807C6B" w:rsidRPr="00807C6B" w:rsidRDefault="00807C6B" w:rsidP="00807C6B">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33,613,069</w:t>
            </w:r>
          </w:p>
        </w:tc>
        <w:tc>
          <w:tcPr>
            <w:tcW w:w="1296" w:type="dxa"/>
            <w:vAlign w:val="center"/>
          </w:tcPr>
          <w:p w14:paraId="44C6D988" w14:textId="5BEB7495" w:rsidR="00807C6B" w:rsidRPr="00807C6B" w:rsidRDefault="00807C6B" w:rsidP="00807C6B">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41,599,632</w:t>
            </w:r>
          </w:p>
        </w:tc>
        <w:tc>
          <w:tcPr>
            <w:tcW w:w="1296" w:type="dxa"/>
            <w:vAlign w:val="center"/>
          </w:tcPr>
          <w:p w14:paraId="1B94103F" w14:textId="3FBE5F83" w:rsidR="00807C6B" w:rsidRPr="00807C6B" w:rsidRDefault="00807C6B" w:rsidP="00807C6B">
            <w:pPr>
              <w:keepNext/>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807C6B">
              <w:rPr>
                <w:rFonts w:ascii="Arial" w:hAnsi="Arial" w:cs="Arial"/>
                <w:color w:val="000000"/>
                <w:sz w:val="16"/>
                <w:szCs w:val="16"/>
              </w:rPr>
              <w:t>7,017,026</w:t>
            </w:r>
          </w:p>
        </w:tc>
      </w:tr>
      <w:tr w:rsidR="00FE48C0" w:rsidRPr="00807C6B" w14:paraId="7804AB6F" w14:textId="77777777" w:rsidTr="00E34E2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296" w:type="dxa"/>
            <w:vAlign w:val="center"/>
          </w:tcPr>
          <w:p w14:paraId="2714D157" w14:textId="77777777" w:rsidR="00FE48C0" w:rsidRPr="00807C6B" w:rsidRDefault="00FE48C0" w:rsidP="00FE48C0">
            <w:pPr>
              <w:keepNext/>
              <w:rPr>
                <w:rFonts w:ascii="Arial" w:hAnsi="Arial" w:cs="Arial"/>
                <w:sz w:val="16"/>
                <w:szCs w:val="16"/>
              </w:rPr>
            </w:pPr>
            <w:r w:rsidRPr="00807C6B">
              <w:rPr>
                <w:rFonts w:ascii="Arial" w:hAnsi="Arial" w:cs="Arial"/>
                <w:sz w:val="16"/>
                <w:szCs w:val="16"/>
              </w:rPr>
              <w:t>Flujo de caja</w:t>
            </w:r>
          </w:p>
        </w:tc>
        <w:tc>
          <w:tcPr>
            <w:tcW w:w="1176" w:type="dxa"/>
            <w:vAlign w:val="center"/>
          </w:tcPr>
          <w:p w14:paraId="64AFC4D4" w14:textId="69EB571B" w:rsidR="00FE48C0" w:rsidRPr="00807C6B" w:rsidRDefault="00FE48C0" w:rsidP="00FE48C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sz w:val="16"/>
                <w:szCs w:val="16"/>
              </w:rPr>
              <w:t>0</w:t>
            </w:r>
          </w:p>
        </w:tc>
        <w:tc>
          <w:tcPr>
            <w:tcW w:w="1296" w:type="dxa"/>
            <w:vAlign w:val="center"/>
          </w:tcPr>
          <w:p w14:paraId="461EEB22" w14:textId="44EFEA7A" w:rsidR="00FE48C0" w:rsidRPr="00807C6B" w:rsidRDefault="00FE48C0" w:rsidP="00FE48C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sz w:val="16"/>
                <w:szCs w:val="16"/>
              </w:rPr>
              <w:t>-6,276,283</w:t>
            </w:r>
          </w:p>
        </w:tc>
        <w:tc>
          <w:tcPr>
            <w:tcW w:w="1296" w:type="dxa"/>
            <w:vAlign w:val="center"/>
          </w:tcPr>
          <w:p w14:paraId="2B2F4355" w14:textId="692A9A9A" w:rsidR="00FE48C0" w:rsidRPr="00807C6B" w:rsidRDefault="00FE48C0" w:rsidP="00FE48C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sz w:val="16"/>
                <w:szCs w:val="16"/>
              </w:rPr>
              <w:t>-15,263,889</w:t>
            </w:r>
          </w:p>
        </w:tc>
        <w:tc>
          <w:tcPr>
            <w:tcW w:w="1296" w:type="dxa"/>
            <w:vAlign w:val="center"/>
          </w:tcPr>
          <w:p w14:paraId="4F36CE66" w14:textId="3A511F42" w:rsidR="00FE48C0" w:rsidRPr="00807C6B" w:rsidRDefault="00FE48C0" w:rsidP="00FE48C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sz w:val="16"/>
                <w:szCs w:val="16"/>
              </w:rPr>
              <w:t>-12,804,981</w:t>
            </w:r>
          </w:p>
        </w:tc>
        <w:tc>
          <w:tcPr>
            <w:tcW w:w="1296" w:type="dxa"/>
            <w:vAlign w:val="center"/>
          </w:tcPr>
          <w:p w14:paraId="0498F394" w14:textId="21282291" w:rsidR="00FE48C0" w:rsidRPr="00807C6B" w:rsidRDefault="00FE48C0" w:rsidP="00FE48C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sz w:val="16"/>
                <w:szCs w:val="16"/>
              </w:rPr>
              <w:t>-1,292,834</w:t>
            </w:r>
          </w:p>
        </w:tc>
        <w:tc>
          <w:tcPr>
            <w:tcW w:w="1296" w:type="dxa"/>
            <w:vAlign w:val="center"/>
          </w:tcPr>
          <w:p w14:paraId="7AC5240B" w14:textId="1B43094F" w:rsidR="00FE48C0" w:rsidRPr="00807C6B" w:rsidRDefault="00FE48C0" w:rsidP="00FE48C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807C6B">
              <w:rPr>
                <w:rFonts w:ascii="Arial" w:hAnsi="Arial" w:cs="Arial"/>
                <w:sz w:val="16"/>
                <w:szCs w:val="16"/>
              </w:rPr>
              <w:t>70,318,328</w:t>
            </w:r>
          </w:p>
        </w:tc>
      </w:tr>
    </w:tbl>
    <w:p w14:paraId="5BE1BDFB" w14:textId="77777777" w:rsidR="00C3112E" w:rsidRPr="00EE10BC" w:rsidRDefault="00C3112E" w:rsidP="00C3112E">
      <w:pPr>
        <w:keepNext/>
        <w:jc w:val="both"/>
        <w:rPr>
          <w:rFonts w:ascii="Arial" w:hAnsi="Arial" w:cs="Arial"/>
          <w:sz w:val="22"/>
          <w:szCs w:val="22"/>
        </w:rPr>
      </w:pPr>
    </w:p>
    <w:p w14:paraId="7E423A65" w14:textId="77777777" w:rsidR="00C3112E" w:rsidRPr="00EE10BC" w:rsidRDefault="00C3112E" w:rsidP="00C3112E">
      <w:pPr>
        <w:autoSpaceDE w:val="0"/>
        <w:autoSpaceDN w:val="0"/>
        <w:adjustRightInd w:val="0"/>
        <w:jc w:val="center"/>
        <w:rPr>
          <w:rFonts w:ascii="Arial" w:hAnsi="Arial" w:cs="Arial"/>
          <w:sz w:val="18"/>
          <w:szCs w:val="16"/>
        </w:rPr>
      </w:pPr>
      <w:r w:rsidRPr="00EE10BC">
        <w:rPr>
          <w:rFonts w:ascii="Arial" w:hAnsi="Arial" w:cs="Arial"/>
          <w:sz w:val="18"/>
          <w:szCs w:val="16"/>
        </w:rPr>
        <w:t>Fuente: Elaboración de los autores.</w:t>
      </w:r>
    </w:p>
    <w:p w14:paraId="55A6C1A5" w14:textId="77777777" w:rsidR="001E6263" w:rsidRPr="00EE10BC" w:rsidRDefault="001E6263" w:rsidP="001E6263">
      <w:pPr>
        <w:pStyle w:val="ColorfulList-Accent110"/>
        <w:spacing w:before="120" w:after="100" w:afterAutospacing="1"/>
        <w:ind w:left="0"/>
        <w:jc w:val="both"/>
        <w:rPr>
          <w:rFonts w:ascii="Arial" w:hAnsi="Arial" w:cs="Arial"/>
        </w:rPr>
      </w:pPr>
    </w:p>
    <w:p w14:paraId="4C2B5B66" w14:textId="18FB656D" w:rsidR="00F229B1" w:rsidRPr="00860424" w:rsidRDefault="00084748" w:rsidP="001E6263">
      <w:pPr>
        <w:pStyle w:val="ColorfulList-Accent110"/>
        <w:spacing w:before="120" w:after="100" w:afterAutospacing="1"/>
        <w:ind w:left="0"/>
        <w:jc w:val="both"/>
        <w:rPr>
          <w:rFonts w:ascii="Arial" w:hAnsi="Arial" w:cs="Arial"/>
          <w:b/>
          <w:bCs/>
          <w:smallCaps/>
          <w:color w:val="000000"/>
          <w:sz w:val="20"/>
          <w:szCs w:val="20"/>
        </w:rPr>
      </w:pPr>
      <w:r w:rsidRPr="00EE10BC">
        <w:rPr>
          <w:rFonts w:ascii="Arial" w:hAnsi="Arial" w:cs="Arial"/>
        </w:rPr>
        <w:t>F</w:t>
      </w:r>
      <w:r w:rsidR="00F229B1" w:rsidRPr="00EE10BC">
        <w:rPr>
          <w:rFonts w:ascii="Arial" w:hAnsi="Arial" w:cs="Arial"/>
        </w:rPr>
        <w:t>inalmente, los indicadores de impacto y resultados esperados incluidos en la matriz de resultados del programa son consistentes con los beneficios esperados de este análisis económico. Específicamente, los indicadores de impacto planteados</w:t>
      </w:r>
      <w:r w:rsidR="00F229B1" w:rsidRPr="00210A53">
        <w:rPr>
          <w:rFonts w:ascii="Arial" w:hAnsi="Arial" w:cs="Arial"/>
        </w:rPr>
        <w:t xml:space="preserve"> en el programa están asociados con los beneficios esperados debido al fortalecimiento las líneas de cuidado que se asocian con la operación</w:t>
      </w:r>
      <w:r w:rsidR="00F229B1">
        <w:rPr>
          <w:rFonts w:ascii="Arial" w:hAnsi="Arial" w:cs="Arial"/>
        </w:rPr>
        <w:t xml:space="preserve"> y al fortalecimiento de la red de salud postpandemia</w:t>
      </w:r>
      <w:r w:rsidR="00F229B1" w:rsidRPr="00210A53">
        <w:rPr>
          <w:rFonts w:ascii="Arial" w:hAnsi="Arial" w:cs="Arial"/>
        </w:rPr>
        <w:t xml:space="preserve">. Cabe destacar que este análisis económico cuantifica </w:t>
      </w:r>
      <w:r w:rsidR="00F229B1" w:rsidRPr="00433CBF">
        <w:rPr>
          <w:rFonts w:ascii="Arial" w:hAnsi="Arial" w:cs="Arial"/>
        </w:rPr>
        <w:t>los beneficios esperados de las intervenciones en AVAD, que es un indicador sintético que combina años de vida perdidos por muerte prematura y los años perdidos por discapacidad severa</w:t>
      </w:r>
      <w:r w:rsidR="00653001" w:rsidRPr="00433CBF">
        <w:rPr>
          <w:rFonts w:ascii="Arial" w:hAnsi="Arial" w:cs="Arial"/>
        </w:rPr>
        <w:t xml:space="preserve">, y </w:t>
      </w:r>
      <w:r w:rsidR="009E5588" w:rsidRPr="00433CBF">
        <w:rPr>
          <w:rFonts w:ascii="Arial" w:hAnsi="Arial" w:cs="Arial"/>
        </w:rPr>
        <w:t xml:space="preserve">ahorro en </w:t>
      </w:r>
      <w:r w:rsidR="00433CBF">
        <w:rPr>
          <w:rFonts w:ascii="Arial" w:hAnsi="Arial" w:cs="Arial"/>
        </w:rPr>
        <w:t>ingresos hospitalarios</w:t>
      </w:r>
      <w:r w:rsidR="000C487F" w:rsidRPr="00433CBF">
        <w:rPr>
          <w:rFonts w:ascii="Arial" w:hAnsi="Arial" w:cs="Arial"/>
        </w:rPr>
        <w:t xml:space="preserve"> e imágenes diagnósticas</w:t>
      </w:r>
      <w:r w:rsidR="00433CBF">
        <w:rPr>
          <w:rFonts w:ascii="Arial" w:hAnsi="Arial" w:cs="Arial"/>
        </w:rPr>
        <w:t xml:space="preserve"> repetidas</w:t>
      </w:r>
      <w:r w:rsidR="00F229B1" w:rsidRPr="00433CBF">
        <w:rPr>
          <w:rFonts w:ascii="Arial" w:hAnsi="Arial" w:cs="Arial"/>
        </w:rPr>
        <w:t>. Los AVAD están entonces vinculados por definición a la reducción de mortalidad, que</w:t>
      </w:r>
      <w:r w:rsidR="00F229B1" w:rsidRPr="00210A53">
        <w:rPr>
          <w:rFonts w:ascii="Arial" w:hAnsi="Arial" w:cs="Arial"/>
        </w:rPr>
        <w:t xml:space="preserve"> es considerada en varios de los indicadores de impacto. Por lo tanto, los beneficios de la operación, cuantificados en </w:t>
      </w:r>
      <w:proofErr w:type="spellStart"/>
      <w:r w:rsidR="00F229B1" w:rsidRPr="00210A53">
        <w:rPr>
          <w:rFonts w:ascii="Arial" w:hAnsi="Arial" w:cs="Arial"/>
        </w:rPr>
        <w:t>AVADs</w:t>
      </w:r>
      <w:proofErr w:type="spellEnd"/>
      <w:r w:rsidR="00F229B1" w:rsidRPr="00210A53">
        <w:rPr>
          <w:rFonts w:ascii="Arial" w:hAnsi="Arial" w:cs="Arial"/>
        </w:rPr>
        <w:t xml:space="preserve"> en este análisis económico, contribuyen a la mejora de los indicadores de impacto de la matriz de resultados.</w:t>
      </w:r>
    </w:p>
    <w:p w14:paraId="50753393" w14:textId="5A2A11AA" w:rsidR="009C5F87" w:rsidRDefault="009C5F87" w:rsidP="009C5F87">
      <w:pPr>
        <w:spacing w:before="240" w:after="240"/>
        <w:jc w:val="center"/>
        <w:textAlignment w:val="baseline"/>
        <w:rPr>
          <w:rFonts w:ascii="Arial" w:hAnsi="Arial" w:cs="Arial"/>
          <w:b/>
          <w:bCs/>
          <w:smallCaps/>
          <w:color w:val="000000"/>
          <w:sz w:val="20"/>
          <w:szCs w:val="20"/>
        </w:rPr>
      </w:pPr>
      <w:r w:rsidRPr="00FD5042">
        <w:rPr>
          <w:rFonts w:ascii="Arial" w:hAnsi="Arial" w:cs="Arial"/>
          <w:b/>
          <w:bCs/>
          <w:smallCaps/>
          <w:color w:val="000000"/>
          <w:sz w:val="20"/>
          <w:szCs w:val="20"/>
        </w:rPr>
        <w:t>Impactos Esperados</w:t>
      </w:r>
    </w:p>
    <w:tbl>
      <w:tblPr>
        <w:tblW w:w="10571" w:type="dxa"/>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1350"/>
        <w:gridCol w:w="1170"/>
        <w:gridCol w:w="1080"/>
        <w:gridCol w:w="900"/>
        <w:gridCol w:w="810"/>
        <w:gridCol w:w="1391"/>
        <w:gridCol w:w="2070"/>
      </w:tblGrid>
      <w:tr w:rsidR="00802DFC" w:rsidRPr="00802DFC" w14:paraId="4A2195A2" w14:textId="77777777" w:rsidTr="00802DFC">
        <w:trPr>
          <w:trHeight w:val="20"/>
          <w:tblHeader/>
        </w:trPr>
        <w:tc>
          <w:tcPr>
            <w:tcW w:w="1800" w:type="dxa"/>
            <w:vMerge w:val="restart"/>
            <w:tcBorders>
              <w:bottom w:val="single" w:sz="4" w:space="0" w:color="auto"/>
            </w:tcBorders>
            <w:shd w:val="clear" w:color="auto" w:fill="D9D9D9"/>
            <w:vAlign w:val="center"/>
          </w:tcPr>
          <w:p w14:paraId="0731F1B1" w14:textId="77777777" w:rsidR="00802DFC" w:rsidRPr="00802DFC" w:rsidRDefault="00802DFC" w:rsidP="00802DFC">
            <w:pPr>
              <w:jc w:val="center"/>
              <w:rPr>
                <w:rFonts w:ascii="Arial" w:eastAsia="Calibri" w:hAnsi="Arial" w:cs="Arial"/>
                <w:b/>
                <w:sz w:val="18"/>
                <w:szCs w:val="18"/>
                <w:lang w:val="es-ES_tradnl"/>
              </w:rPr>
            </w:pPr>
            <w:r w:rsidRPr="00802DFC">
              <w:rPr>
                <w:rFonts w:ascii="Arial" w:eastAsia="Calibri" w:hAnsi="Arial" w:cs="Arial"/>
                <w:b/>
                <w:sz w:val="18"/>
                <w:szCs w:val="18"/>
                <w:lang w:val="es-ES_tradnl"/>
              </w:rPr>
              <w:t>Indicadores</w:t>
            </w:r>
          </w:p>
        </w:tc>
        <w:tc>
          <w:tcPr>
            <w:tcW w:w="1350" w:type="dxa"/>
            <w:vMerge w:val="restart"/>
            <w:tcBorders>
              <w:bottom w:val="single" w:sz="4" w:space="0" w:color="auto"/>
            </w:tcBorders>
            <w:shd w:val="clear" w:color="auto" w:fill="D9D9D9"/>
            <w:vAlign w:val="center"/>
          </w:tcPr>
          <w:p w14:paraId="2211C0EF" w14:textId="77777777" w:rsidR="00802DFC" w:rsidRPr="00802DFC" w:rsidRDefault="00802DFC" w:rsidP="00802DFC">
            <w:pPr>
              <w:jc w:val="center"/>
              <w:rPr>
                <w:rFonts w:ascii="Arial" w:eastAsia="Calibri" w:hAnsi="Arial" w:cs="Arial"/>
                <w:b/>
                <w:sz w:val="18"/>
                <w:szCs w:val="18"/>
                <w:lang w:val="es-ES_tradnl"/>
              </w:rPr>
            </w:pPr>
            <w:r w:rsidRPr="00802DFC">
              <w:rPr>
                <w:rFonts w:ascii="Arial" w:eastAsia="Calibri" w:hAnsi="Arial" w:cs="Arial"/>
                <w:b/>
                <w:sz w:val="18"/>
                <w:szCs w:val="18"/>
                <w:lang w:val="es-ES_tradnl"/>
              </w:rPr>
              <w:t xml:space="preserve">Unidad de Medida </w:t>
            </w:r>
          </w:p>
        </w:tc>
        <w:tc>
          <w:tcPr>
            <w:tcW w:w="1170" w:type="dxa"/>
            <w:vMerge w:val="restart"/>
            <w:tcBorders>
              <w:bottom w:val="single" w:sz="4" w:space="0" w:color="auto"/>
            </w:tcBorders>
            <w:shd w:val="clear" w:color="auto" w:fill="D9D9D9"/>
            <w:vAlign w:val="center"/>
          </w:tcPr>
          <w:p w14:paraId="1E235C0E" w14:textId="77777777" w:rsidR="00802DFC" w:rsidRPr="00802DFC" w:rsidRDefault="00802DFC" w:rsidP="00802DFC">
            <w:pPr>
              <w:jc w:val="center"/>
              <w:rPr>
                <w:rFonts w:ascii="Arial" w:eastAsia="Calibri" w:hAnsi="Arial" w:cs="Arial"/>
                <w:b/>
                <w:sz w:val="18"/>
                <w:szCs w:val="18"/>
                <w:lang w:val="es-ES_tradnl"/>
              </w:rPr>
            </w:pPr>
            <w:r w:rsidRPr="00802DFC">
              <w:rPr>
                <w:rFonts w:ascii="Arial" w:eastAsia="Calibri" w:hAnsi="Arial" w:cs="Arial"/>
                <w:b/>
                <w:sz w:val="18"/>
                <w:szCs w:val="18"/>
                <w:lang w:val="es-ES_tradnl"/>
              </w:rPr>
              <w:t>Valor de Línea de Base</w:t>
            </w:r>
          </w:p>
        </w:tc>
        <w:tc>
          <w:tcPr>
            <w:tcW w:w="1080" w:type="dxa"/>
            <w:vMerge w:val="restart"/>
            <w:tcBorders>
              <w:bottom w:val="single" w:sz="4" w:space="0" w:color="auto"/>
            </w:tcBorders>
            <w:shd w:val="clear" w:color="auto" w:fill="D9D9D9"/>
            <w:vAlign w:val="center"/>
          </w:tcPr>
          <w:p w14:paraId="4D8F46A6" w14:textId="77777777" w:rsidR="00802DFC" w:rsidRPr="00802DFC" w:rsidRDefault="00802DFC" w:rsidP="00802DFC">
            <w:pPr>
              <w:jc w:val="center"/>
              <w:rPr>
                <w:rFonts w:ascii="Arial" w:eastAsia="Calibri" w:hAnsi="Arial" w:cs="Arial"/>
                <w:b/>
                <w:sz w:val="18"/>
                <w:szCs w:val="18"/>
                <w:lang w:val="es-ES_tradnl"/>
              </w:rPr>
            </w:pPr>
            <w:r w:rsidRPr="00802DFC">
              <w:rPr>
                <w:rFonts w:ascii="Arial" w:eastAsia="Calibri" w:hAnsi="Arial" w:cs="Arial"/>
                <w:b/>
                <w:sz w:val="18"/>
                <w:szCs w:val="18"/>
                <w:lang w:val="es-ES_tradnl"/>
              </w:rPr>
              <w:t>Año Línea de Base</w:t>
            </w:r>
          </w:p>
        </w:tc>
        <w:tc>
          <w:tcPr>
            <w:tcW w:w="1710" w:type="dxa"/>
            <w:gridSpan w:val="2"/>
            <w:tcBorders>
              <w:bottom w:val="single" w:sz="4" w:space="0" w:color="auto"/>
            </w:tcBorders>
            <w:shd w:val="clear" w:color="auto" w:fill="D9D9D9"/>
            <w:vAlign w:val="center"/>
          </w:tcPr>
          <w:p w14:paraId="0C9625AD" w14:textId="77777777" w:rsidR="00802DFC" w:rsidRPr="00802DFC" w:rsidRDefault="00802DFC" w:rsidP="00802DFC">
            <w:pPr>
              <w:jc w:val="center"/>
              <w:rPr>
                <w:rFonts w:ascii="Arial" w:eastAsia="Calibri" w:hAnsi="Arial" w:cs="Arial"/>
                <w:b/>
                <w:sz w:val="18"/>
                <w:szCs w:val="18"/>
                <w:lang w:val="es-ES_tradnl"/>
              </w:rPr>
            </w:pPr>
            <w:r w:rsidRPr="00802DFC">
              <w:rPr>
                <w:rFonts w:ascii="Arial" w:eastAsia="Calibri" w:hAnsi="Arial" w:cs="Arial"/>
                <w:b/>
                <w:sz w:val="18"/>
                <w:szCs w:val="18"/>
                <w:lang w:val="es-ES_tradnl"/>
              </w:rPr>
              <w:t xml:space="preserve">Metas </w:t>
            </w:r>
          </w:p>
        </w:tc>
        <w:tc>
          <w:tcPr>
            <w:tcW w:w="1391" w:type="dxa"/>
            <w:vMerge w:val="restart"/>
            <w:tcBorders>
              <w:bottom w:val="single" w:sz="4" w:space="0" w:color="auto"/>
            </w:tcBorders>
            <w:shd w:val="clear" w:color="auto" w:fill="D9D9D9"/>
            <w:vAlign w:val="center"/>
          </w:tcPr>
          <w:p w14:paraId="77300961" w14:textId="77777777" w:rsidR="00802DFC" w:rsidRPr="00802DFC" w:rsidRDefault="00802DFC" w:rsidP="00802DFC">
            <w:pPr>
              <w:jc w:val="center"/>
              <w:rPr>
                <w:rFonts w:ascii="Arial" w:eastAsia="Calibri" w:hAnsi="Arial" w:cs="Arial"/>
                <w:b/>
                <w:sz w:val="18"/>
                <w:szCs w:val="18"/>
                <w:lang w:val="es-ES_tradnl"/>
              </w:rPr>
            </w:pPr>
            <w:r w:rsidRPr="00802DFC">
              <w:rPr>
                <w:rFonts w:ascii="Arial" w:eastAsia="Calibri" w:hAnsi="Arial" w:cs="Arial"/>
                <w:b/>
                <w:sz w:val="18"/>
                <w:szCs w:val="18"/>
                <w:lang w:val="es-ES_tradnl"/>
              </w:rPr>
              <w:t>Medios de Verificación</w:t>
            </w:r>
          </w:p>
        </w:tc>
        <w:tc>
          <w:tcPr>
            <w:tcW w:w="2070" w:type="dxa"/>
            <w:vMerge w:val="restart"/>
            <w:tcBorders>
              <w:bottom w:val="single" w:sz="4" w:space="0" w:color="auto"/>
            </w:tcBorders>
            <w:shd w:val="clear" w:color="auto" w:fill="D9D9D9"/>
            <w:vAlign w:val="center"/>
          </w:tcPr>
          <w:p w14:paraId="08E4BC89" w14:textId="77777777" w:rsidR="00802DFC" w:rsidRPr="00802DFC" w:rsidRDefault="00802DFC" w:rsidP="00802DFC">
            <w:pPr>
              <w:jc w:val="center"/>
              <w:rPr>
                <w:rFonts w:ascii="Arial" w:eastAsia="Arial" w:hAnsi="Arial" w:cs="Arial"/>
                <w:sz w:val="18"/>
                <w:szCs w:val="18"/>
                <w:lang w:val="es-ES_tradnl"/>
              </w:rPr>
            </w:pPr>
            <w:r w:rsidRPr="00802DFC">
              <w:rPr>
                <w:rFonts w:ascii="Arial" w:eastAsia="Calibri" w:hAnsi="Arial" w:cs="Arial"/>
                <w:b/>
                <w:bCs/>
                <w:sz w:val="18"/>
                <w:szCs w:val="18"/>
                <w:lang w:val="es-ES_tradnl"/>
              </w:rPr>
              <w:t>Comentarios</w:t>
            </w:r>
          </w:p>
        </w:tc>
      </w:tr>
      <w:tr w:rsidR="00802DFC" w:rsidRPr="00802DFC" w14:paraId="739921B7" w14:textId="77777777" w:rsidTr="00802DFC">
        <w:trPr>
          <w:trHeight w:val="20"/>
        </w:trPr>
        <w:tc>
          <w:tcPr>
            <w:tcW w:w="1800" w:type="dxa"/>
            <w:vMerge/>
            <w:vAlign w:val="center"/>
          </w:tcPr>
          <w:p w14:paraId="057634BB" w14:textId="77777777" w:rsidR="00802DFC" w:rsidRPr="00802DFC" w:rsidRDefault="00802DFC" w:rsidP="00802DFC">
            <w:pPr>
              <w:jc w:val="center"/>
              <w:rPr>
                <w:rFonts w:ascii="Arial" w:eastAsia="Calibri" w:hAnsi="Arial" w:cs="Arial"/>
                <w:b/>
                <w:sz w:val="18"/>
                <w:szCs w:val="18"/>
                <w:lang w:val="es-ES_tradnl"/>
              </w:rPr>
            </w:pPr>
          </w:p>
        </w:tc>
        <w:tc>
          <w:tcPr>
            <w:tcW w:w="1350" w:type="dxa"/>
            <w:vMerge/>
            <w:vAlign w:val="center"/>
          </w:tcPr>
          <w:p w14:paraId="22D1AB59" w14:textId="77777777" w:rsidR="00802DFC" w:rsidRPr="00802DFC" w:rsidRDefault="00802DFC" w:rsidP="00802DFC">
            <w:pPr>
              <w:jc w:val="center"/>
              <w:rPr>
                <w:rFonts w:ascii="Arial" w:eastAsia="Calibri" w:hAnsi="Arial" w:cs="Arial"/>
                <w:b/>
                <w:sz w:val="18"/>
                <w:szCs w:val="18"/>
                <w:lang w:val="es-ES_tradnl"/>
              </w:rPr>
            </w:pPr>
          </w:p>
        </w:tc>
        <w:tc>
          <w:tcPr>
            <w:tcW w:w="1170" w:type="dxa"/>
            <w:vMerge/>
            <w:vAlign w:val="center"/>
          </w:tcPr>
          <w:p w14:paraId="60A73EC3" w14:textId="77777777" w:rsidR="00802DFC" w:rsidRPr="00802DFC" w:rsidRDefault="00802DFC" w:rsidP="00802DFC">
            <w:pPr>
              <w:jc w:val="center"/>
              <w:rPr>
                <w:rFonts w:ascii="Arial" w:eastAsia="Calibri" w:hAnsi="Arial" w:cs="Arial"/>
                <w:b/>
                <w:sz w:val="18"/>
                <w:szCs w:val="18"/>
                <w:lang w:val="es-ES_tradnl"/>
              </w:rPr>
            </w:pPr>
          </w:p>
        </w:tc>
        <w:tc>
          <w:tcPr>
            <w:tcW w:w="1080" w:type="dxa"/>
            <w:vMerge/>
            <w:vAlign w:val="center"/>
          </w:tcPr>
          <w:p w14:paraId="0B1F98FB" w14:textId="77777777" w:rsidR="00802DFC" w:rsidRPr="00802DFC" w:rsidRDefault="00802DFC" w:rsidP="00802DFC">
            <w:pPr>
              <w:jc w:val="center"/>
              <w:rPr>
                <w:rFonts w:ascii="Arial" w:eastAsia="Calibri" w:hAnsi="Arial" w:cs="Arial"/>
                <w:b/>
                <w:sz w:val="18"/>
                <w:szCs w:val="18"/>
                <w:lang w:val="es-ES_tradnl"/>
              </w:rPr>
            </w:pPr>
          </w:p>
        </w:tc>
        <w:tc>
          <w:tcPr>
            <w:tcW w:w="900" w:type="dxa"/>
            <w:tcBorders>
              <w:top w:val="single" w:sz="4" w:space="0" w:color="auto"/>
              <w:bottom w:val="single" w:sz="4" w:space="0" w:color="000000"/>
            </w:tcBorders>
            <w:shd w:val="clear" w:color="auto" w:fill="D9D9D9"/>
            <w:vAlign w:val="center"/>
          </w:tcPr>
          <w:p w14:paraId="563C9C5D" w14:textId="77777777" w:rsidR="00802DFC" w:rsidRPr="00802DFC" w:rsidRDefault="00802DFC" w:rsidP="00802DFC">
            <w:pPr>
              <w:jc w:val="center"/>
              <w:rPr>
                <w:rFonts w:ascii="Arial" w:eastAsia="Calibri" w:hAnsi="Arial" w:cs="Arial"/>
                <w:b/>
                <w:sz w:val="18"/>
                <w:szCs w:val="18"/>
                <w:lang w:val="es-ES_tradnl"/>
              </w:rPr>
            </w:pPr>
            <w:r w:rsidRPr="00802DFC">
              <w:rPr>
                <w:rFonts w:ascii="Arial" w:eastAsia="Calibri" w:hAnsi="Arial" w:cs="Arial"/>
                <w:b/>
                <w:sz w:val="18"/>
                <w:szCs w:val="18"/>
                <w:lang w:val="es-ES_tradnl"/>
              </w:rPr>
              <w:t>Valor</w:t>
            </w:r>
          </w:p>
        </w:tc>
        <w:tc>
          <w:tcPr>
            <w:tcW w:w="810" w:type="dxa"/>
            <w:tcBorders>
              <w:top w:val="single" w:sz="4" w:space="0" w:color="auto"/>
              <w:bottom w:val="single" w:sz="4" w:space="0" w:color="000000"/>
            </w:tcBorders>
            <w:shd w:val="clear" w:color="auto" w:fill="D9D9D9"/>
            <w:vAlign w:val="center"/>
          </w:tcPr>
          <w:p w14:paraId="6E478B0D" w14:textId="77777777" w:rsidR="00802DFC" w:rsidRPr="00802DFC" w:rsidRDefault="00802DFC" w:rsidP="00802DFC">
            <w:pPr>
              <w:jc w:val="center"/>
              <w:rPr>
                <w:rFonts w:ascii="Arial" w:eastAsia="Calibri" w:hAnsi="Arial" w:cs="Arial"/>
                <w:b/>
                <w:sz w:val="18"/>
                <w:szCs w:val="18"/>
                <w:lang w:val="es-ES_tradnl"/>
              </w:rPr>
            </w:pPr>
            <w:r w:rsidRPr="00802DFC">
              <w:rPr>
                <w:rFonts w:ascii="Arial" w:eastAsia="Calibri" w:hAnsi="Arial" w:cs="Arial"/>
                <w:b/>
                <w:sz w:val="18"/>
                <w:szCs w:val="18"/>
                <w:lang w:val="es-ES_tradnl"/>
              </w:rPr>
              <w:t>Año</w:t>
            </w:r>
          </w:p>
        </w:tc>
        <w:tc>
          <w:tcPr>
            <w:tcW w:w="1391" w:type="dxa"/>
            <w:vMerge/>
            <w:vAlign w:val="center"/>
          </w:tcPr>
          <w:p w14:paraId="49AE67CF" w14:textId="77777777" w:rsidR="00802DFC" w:rsidRPr="00802DFC" w:rsidRDefault="00802DFC" w:rsidP="00802DFC">
            <w:pPr>
              <w:jc w:val="center"/>
              <w:rPr>
                <w:rFonts w:ascii="Arial" w:eastAsia="Calibri" w:hAnsi="Arial" w:cs="Arial"/>
                <w:b/>
                <w:sz w:val="18"/>
                <w:szCs w:val="18"/>
                <w:lang w:val="es-ES_tradnl"/>
              </w:rPr>
            </w:pPr>
          </w:p>
        </w:tc>
        <w:tc>
          <w:tcPr>
            <w:tcW w:w="2070" w:type="dxa"/>
            <w:vMerge/>
            <w:vAlign w:val="center"/>
          </w:tcPr>
          <w:p w14:paraId="42D1543B" w14:textId="77777777" w:rsidR="00802DFC" w:rsidRPr="00802DFC" w:rsidRDefault="00802DFC" w:rsidP="00802DFC">
            <w:pPr>
              <w:jc w:val="center"/>
              <w:rPr>
                <w:rFonts w:ascii="Arial" w:eastAsia="Calibri" w:hAnsi="Arial" w:cs="Arial"/>
                <w:b/>
                <w:sz w:val="18"/>
                <w:szCs w:val="18"/>
                <w:lang w:val="es-ES_tradnl"/>
              </w:rPr>
            </w:pPr>
          </w:p>
        </w:tc>
      </w:tr>
      <w:tr w:rsidR="00802DFC" w:rsidRPr="00802DFC" w14:paraId="64E41972" w14:textId="77777777" w:rsidTr="00802DFC">
        <w:trPr>
          <w:trHeight w:val="377"/>
        </w:trPr>
        <w:tc>
          <w:tcPr>
            <w:tcW w:w="10571" w:type="dxa"/>
            <w:gridSpan w:val="8"/>
            <w:shd w:val="clear" w:color="auto" w:fill="D6E3BC"/>
            <w:vAlign w:val="center"/>
          </w:tcPr>
          <w:p w14:paraId="54AF51DB" w14:textId="77777777" w:rsidR="00802DFC" w:rsidRPr="00802DFC" w:rsidRDefault="00802DFC" w:rsidP="00802DFC">
            <w:pPr>
              <w:rPr>
                <w:rFonts w:ascii="Arial" w:eastAsia="Calibri" w:hAnsi="Arial" w:cs="Arial"/>
                <w:b/>
                <w:sz w:val="18"/>
                <w:szCs w:val="18"/>
                <w:lang w:val="es-ES_tradnl"/>
              </w:rPr>
            </w:pPr>
            <w:r w:rsidRPr="00802DFC">
              <w:rPr>
                <w:rFonts w:ascii="Arial" w:eastAsia="Calibri" w:hAnsi="Arial" w:cs="Arial"/>
                <w:b/>
                <w:bCs/>
                <w:sz w:val="18"/>
                <w:szCs w:val="18"/>
                <w:lang w:val="es-ES_tradnl"/>
              </w:rPr>
              <w:t>Objetivo general de desarrollo: Mejorar la salud de la población del Estado de Sergipe.</w:t>
            </w:r>
          </w:p>
        </w:tc>
      </w:tr>
      <w:tr w:rsidR="00802DFC" w:rsidRPr="00802DFC" w14:paraId="64E1FD22" w14:textId="77777777" w:rsidTr="00802DFC">
        <w:trPr>
          <w:trHeight w:val="20"/>
        </w:trPr>
        <w:tc>
          <w:tcPr>
            <w:tcW w:w="1800" w:type="dxa"/>
            <w:vAlign w:val="center"/>
          </w:tcPr>
          <w:p w14:paraId="1DB110EB" w14:textId="77777777" w:rsidR="00802DFC" w:rsidRPr="00802DFC" w:rsidRDefault="00802DFC" w:rsidP="00802DFC">
            <w:pPr>
              <w:spacing w:after="60"/>
              <w:rPr>
                <w:rFonts w:ascii="Arial" w:eastAsia="Calibri" w:hAnsi="Arial" w:cs="Arial"/>
                <w:sz w:val="18"/>
                <w:szCs w:val="18"/>
                <w:lang w:val="es-ES_tradnl"/>
              </w:rPr>
            </w:pPr>
            <w:r w:rsidRPr="00802DFC">
              <w:rPr>
                <w:rFonts w:ascii="Arial" w:eastAsia="Calibri" w:hAnsi="Arial" w:cs="Arial"/>
                <w:color w:val="000000"/>
                <w:sz w:val="18"/>
                <w:szCs w:val="18"/>
                <w:lang w:val="es-ES_tradnl"/>
              </w:rPr>
              <w:t>Tasa de mortalidad prematura por Accidente Cerebrovascular (ACV) en mujeres</w:t>
            </w:r>
            <w:r w:rsidRPr="00802DFC">
              <w:rPr>
                <w:rFonts w:ascii="Arial" w:eastAsia="Calibri" w:hAnsi="Arial" w:cs="Arial"/>
                <w:color w:val="000000"/>
                <w:sz w:val="18"/>
                <w:szCs w:val="18"/>
                <w:vertAlign w:val="superscript"/>
                <w:lang w:val="es-ES_tradnl"/>
              </w:rPr>
              <w:footnoteReference w:id="12"/>
            </w:r>
          </w:p>
        </w:tc>
        <w:tc>
          <w:tcPr>
            <w:tcW w:w="1350" w:type="dxa"/>
            <w:vAlign w:val="center"/>
          </w:tcPr>
          <w:p w14:paraId="2CE2CD6E"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color w:val="000000"/>
                <w:sz w:val="18"/>
                <w:szCs w:val="18"/>
                <w:lang w:val="es-ES_tradnl"/>
              </w:rPr>
              <w:t>/100.000 habitantes</w:t>
            </w:r>
          </w:p>
        </w:tc>
        <w:tc>
          <w:tcPr>
            <w:tcW w:w="1170" w:type="dxa"/>
            <w:shd w:val="clear" w:color="auto" w:fill="auto"/>
            <w:vAlign w:val="center"/>
          </w:tcPr>
          <w:p w14:paraId="13EFC86F"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5,01</w:t>
            </w:r>
          </w:p>
        </w:tc>
        <w:tc>
          <w:tcPr>
            <w:tcW w:w="1080" w:type="dxa"/>
            <w:vAlign w:val="center"/>
          </w:tcPr>
          <w:p w14:paraId="70E90B22"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2020</w:t>
            </w:r>
          </w:p>
        </w:tc>
        <w:tc>
          <w:tcPr>
            <w:tcW w:w="900" w:type="dxa"/>
            <w:vAlign w:val="center"/>
          </w:tcPr>
          <w:p w14:paraId="375D1C20"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4,17</w:t>
            </w:r>
          </w:p>
        </w:tc>
        <w:tc>
          <w:tcPr>
            <w:tcW w:w="810" w:type="dxa"/>
            <w:vAlign w:val="center"/>
          </w:tcPr>
          <w:p w14:paraId="0A0CCC5F"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2027</w:t>
            </w:r>
          </w:p>
        </w:tc>
        <w:tc>
          <w:tcPr>
            <w:tcW w:w="1391" w:type="dxa"/>
            <w:vMerge w:val="restart"/>
          </w:tcPr>
          <w:p w14:paraId="28091CB3" w14:textId="77777777" w:rsidR="00802DFC" w:rsidRPr="00802DFC" w:rsidRDefault="00802DFC" w:rsidP="00802DFC">
            <w:pPr>
              <w:spacing w:after="60"/>
              <w:rPr>
                <w:rFonts w:ascii="Arial" w:eastAsia="Calibri" w:hAnsi="Arial" w:cs="Arial"/>
                <w:sz w:val="18"/>
                <w:szCs w:val="18"/>
                <w:lang w:val="es-ES_tradnl"/>
              </w:rPr>
            </w:pPr>
            <w:r w:rsidRPr="00802DFC">
              <w:rPr>
                <w:rFonts w:ascii="Arial" w:eastAsia="Calibri" w:hAnsi="Arial" w:cs="Arial"/>
                <w:sz w:val="18"/>
                <w:szCs w:val="18"/>
                <w:lang w:val="es-ES_tradnl"/>
              </w:rPr>
              <w:t>Sistema de Información de Mortalidad (SIM)</w:t>
            </w:r>
          </w:p>
        </w:tc>
        <w:tc>
          <w:tcPr>
            <w:tcW w:w="2070" w:type="dxa"/>
            <w:vMerge w:val="restart"/>
            <w:vAlign w:val="center"/>
          </w:tcPr>
          <w:p w14:paraId="009EBDBF" w14:textId="77777777" w:rsidR="00802DFC" w:rsidRPr="00802DFC" w:rsidRDefault="00802DFC" w:rsidP="00802DFC">
            <w:pPr>
              <w:spacing w:after="60"/>
              <w:ind w:left="-72" w:right="-72"/>
              <w:jc w:val="center"/>
              <w:rPr>
                <w:rFonts w:ascii="Arial" w:eastAsia="Calibri" w:hAnsi="Arial" w:cs="Arial"/>
                <w:sz w:val="18"/>
                <w:szCs w:val="18"/>
                <w:lang w:val="es-ES_tradnl"/>
              </w:rPr>
            </w:pPr>
            <w:r w:rsidRPr="00802DFC">
              <w:rPr>
                <w:rFonts w:ascii="Arial" w:eastAsia="Calibri" w:hAnsi="Arial" w:cs="Arial"/>
                <w:sz w:val="18"/>
                <w:szCs w:val="18"/>
                <w:lang w:val="es-ES_tradnl"/>
              </w:rPr>
              <w:t>Rango de edad para la mortalidad prematura: 30 a 59 años.</w:t>
            </w:r>
          </w:p>
        </w:tc>
      </w:tr>
      <w:tr w:rsidR="00802DFC" w:rsidRPr="00802DFC" w14:paraId="5A03FACA" w14:textId="77777777" w:rsidTr="00802DFC">
        <w:trPr>
          <w:trHeight w:val="20"/>
        </w:trPr>
        <w:tc>
          <w:tcPr>
            <w:tcW w:w="1800" w:type="dxa"/>
            <w:vAlign w:val="center"/>
          </w:tcPr>
          <w:p w14:paraId="4CB8FCC2" w14:textId="77777777" w:rsidR="00802DFC" w:rsidRPr="00802DFC" w:rsidRDefault="00802DFC" w:rsidP="00802DFC">
            <w:pPr>
              <w:spacing w:after="60"/>
              <w:rPr>
                <w:rFonts w:ascii="Arial" w:eastAsia="Calibri" w:hAnsi="Arial" w:cs="Arial"/>
                <w:sz w:val="18"/>
                <w:szCs w:val="18"/>
                <w:lang w:val="es-ES_tradnl"/>
              </w:rPr>
            </w:pPr>
            <w:r w:rsidRPr="00802DFC">
              <w:rPr>
                <w:rFonts w:ascii="Arial" w:eastAsia="Calibri" w:hAnsi="Arial" w:cs="Arial"/>
                <w:color w:val="000000"/>
                <w:sz w:val="18"/>
                <w:szCs w:val="18"/>
                <w:lang w:val="es-ES_tradnl"/>
              </w:rPr>
              <w:t>Tasa de mortalidad prematura por ACV en hombres</w:t>
            </w:r>
          </w:p>
        </w:tc>
        <w:tc>
          <w:tcPr>
            <w:tcW w:w="1350" w:type="dxa"/>
            <w:vAlign w:val="center"/>
          </w:tcPr>
          <w:p w14:paraId="6FC589FF"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color w:val="000000"/>
                <w:sz w:val="18"/>
                <w:szCs w:val="18"/>
                <w:lang w:val="es-ES_tradnl"/>
              </w:rPr>
              <w:t>/100.000 habitantes</w:t>
            </w:r>
          </w:p>
        </w:tc>
        <w:tc>
          <w:tcPr>
            <w:tcW w:w="1170" w:type="dxa"/>
            <w:shd w:val="clear" w:color="auto" w:fill="auto"/>
            <w:vAlign w:val="center"/>
          </w:tcPr>
          <w:p w14:paraId="084BEE95"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10,58</w:t>
            </w:r>
          </w:p>
        </w:tc>
        <w:tc>
          <w:tcPr>
            <w:tcW w:w="1080" w:type="dxa"/>
            <w:vAlign w:val="center"/>
          </w:tcPr>
          <w:p w14:paraId="640C6FD1"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2020</w:t>
            </w:r>
          </w:p>
        </w:tc>
        <w:tc>
          <w:tcPr>
            <w:tcW w:w="900" w:type="dxa"/>
            <w:vAlign w:val="center"/>
          </w:tcPr>
          <w:p w14:paraId="4C2A8CC7"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9,00</w:t>
            </w:r>
          </w:p>
        </w:tc>
        <w:tc>
          <w:tcPr>
            <w:tcW w:w="810" w:type="dxa"/>
            <w:vAlign w:val="center"/>
          </w:tcPr>
          <w:p w14:paraId="17677EB2"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2027</w:t>
            </w:r>
          </w:p>
        </w:tc>
        <w:tc>
          <w:tcPr>
            <w:tcW w:w="1391" w:type="dxa"/>
            <w:vMerge/>
          </w:tcPr>
          <w:p w14:paraId="78742251" w14:textId="77777777" w:rsidR="00802DFC" w:rsidRPr="00802DFC" w:rsidRDefault="00802DFC" w:rsidP="00802DFC">
            <w:pPr>
              <w:spacing w:after="60"/>
              <w:rPr>
                <w:rFonts w:ascii="Arial" w:eastAsia="Calibri" w:hAnsi="Arial" w:cs="Arial"/>
                <w:i/>
                <w:iCs/>
                <w:sz w:val="18"/>
                <w:szCs w:val="18"/>
                <w:lang w:val="es-ES_tradnl"/>
              </w:rPr>
            </w:pPr>
          </w:p>
        </w:tc>
        <w:tc>
          <w:tcPr>
            <w:tcW w:w="2070" w:type="dxa"/>
            <w:vMerge/>
            <w:vAlign w:val="center"/>
          </w:tcPr>
          <w:p w14:paraId="1A556B59" w14:textId="77777777" w:rsidR="00802DFC" w:rsidRPr="00802DFC" w:rsidRDefault="00802DFC" w:rsidP="00802DFC">
            <w:pPr>
              <w:spacing w:after="60"/>
              <w:ind w:left="-72" w:right="-72"/>
              <w:jc w:val="center"/>
              <w:rPr>
                <w:rFonts w:ascii="Arial" w:eastAsia="Calibri" w:hAnsi="Arial" w:cs="Arial"/>
                <w:color w:val="FF0000"/>
                <w:sz w:val="18"/>
                <w:szCs w:val="18"/>
                <w:lang w:val="es-ES_tradnl"/>
              </w:rPr>
            </w:pPr>
          </w:p>
        </w:tc>
      </w:tr>
      <w:tr w:rsidR="00802DFC" w:rsidRPr="00802DFC" w14:paraId="45769BD9" w14:textId="77777777" w:rsidTr="00802DFC">
        <w:trPr>
          <w:trHeight w:val="20"/>
        </w:trPr>
        <w:tc>
          <w:tcPr>
            <w:tcW w:w="1800" w:type="dxa"/>
            <w:vAlign w:val="center"/>
          </w:tcPr>
          <w:p w14:paraId="65B8FFD5" w14:textId="77777777" w:rsidR="00802DFC" w:rsidRPr="00802DFC" w:rsidRDefault="00802DFC" w:rsidP="00802DFC">
            <w:pPr>
              <w:spacing w:after="60"/>
              <w:rPr>
                <w:rFonts w:ascii="Arial" w:eastAsia="Calibri" w:hAnsi="Arial" w:cs="Arial"/>
                <w:color w:val="000000"/>
                <w:sz w:val="18"/>
                <w:szCs w:val="18"/>
                <w:lang w:val="es-ES_tradnl"/>
              </w:rPr>
            </w:pPr>
            <w:r w:rsidRPr="00802DFC">
              <w:rPr>
                <w:rFonts w:ascii="Arial" w:eastAsia="Calibri" w:hAnsi="Arial" w:cs="Arial"/>
                <w:color w:val="000000"/>
                <w:sz w:val="18"/>
                <w:szCs w:val="18"/>
                <w:lang w:val="es-ES_tradnl"/>
              </w:rPr>
              <w:t>Tasa de mortalidad prematura Diabetes Mellitus (DM) en mujeres</w:t>
            </w:r>
          </w:p>
        </w:tc>
        <w:tc>
          <w:tcPr>
            <w:tcW w:w="1350" w:type="dxa"/>
            <w:vAlign w:val="center"/>
          </w:tcPr>
          <w:p w14:paraId="053B702A" w14:textId="77777777" w:rsidR="00802DFC" w:rsidRPr="00802DFC" w:rsidRDefault="00802DFC" w:rsidP="00802DFC">
            <w:pPr>
              <w:spacing w:after="60"/>
              <w:jc w:val="center"/>
              <w:rPr>
                <w:rFonts w:ascii="Arial" w:eastAsia="Calibri" w:hAnsi="Arial" w:cs="Arial"/>
                <w:color w:val="000000"/>
                <w:sz w:val="18"/>
                <w:szCs w:val="18"/>
                <w:lang w:val="es-ES_tradnl"/>
              </w:rPr>
            </w:pPr>
            <w:r w:rsidRPr="00802DFC">
              <w:rPr>
                <w:rFonts w:ascii="Arial" w:eastAsia="Calibri" w:hAnsi="Arial" w:cs="Arial"/>
                <w:color w:val="000000"/>
                <w:sz w:val="18"/>
                <w:szCs w:val="18"/>
                <w:lang w:val="es-ES_tradnl"/>
              </w:rPr>
              <w:t>/100.000 habitantes</w:t>
            </w:r>
          </w:p>
        </w:tc>
        <w:tc>
          <w:tcPr>
            <w:tcW w:w="1170" w:type="dxa"/>
            <w:shd w:val="clear" w:color="auto" w:fill="auto"/>
            <w:vAlign w:val="center"/>
          </w:tcPr>
          <w:p w14:paraId="544AB04E"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27,48</w:t>
            </w:r>
          </w:p>
        </w:tc>
        <w:tc>
          <w:tcPr>
            <w:tcW w:w="1080" w:type="dxa"/>
            <w:vAlign w:val="center"/>
          </w:tcPr>
          <w:p w14:paraId="505A9141"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2020</w:t>
            </w:r>
          </w:p>
        </w:tc>
        <w:tc>
          <w:tcPr>
            <w:tcW w:w="900" w:type="dxa"/>
            <w:vAlign w:val="center"/>
          </w:tcPr>
          <w:p w14:paraId="3D833A30"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23,56</w:t>
            </w:r>
          </w:p>
        </w:tc>
        <w:tc>
          <w:tcPr>
            <w:tcW w:w="810" w:type="dxa"/>
            <w:vAlign w:val="center"/>
          </w:tcPr>
          <w:p w14:paraId="6E5C1987"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2027</w:t>
            </w:r>
          </w:p>
        </w:tc>
        <w:tc>
          <w:tcPr>
            <w:tcW w:w="1391" w:type="dxa"/>
            <w:vMerge/>
          </w:tcPr>
          <w:p w14:paraId="5E4C44EE" w14:textId="77777777" w:rsidR="00802DFC" w:rsidRPr="00802DFC" w:rsidRDefault="00802DFC" w:rsidP="00802DFC">
            <w:pPr>
              <w:spacing w:after="60"/>
              <w:rPr>
                <w:rFonts w:ascii="Arial" w:eastAsia="Calibri" w:hAnsi="Arial" w:cs="Arial"/>
                <w:i/>
                <w:iCs/>
                <w:sz w:val="18"/>
                <w:szCs w:val="18"/>
                <w:lang w:val="es-ES_tradnl"/>
              </w:rPr>
            </w:pPr>
          </w:p>
        </w:tc>
        <w:tc>
          <w:tcPr>
            <w:tcW w:w="2070" w:type="dxa"/>
            <w:vMerge/>
            <w:vAlign w:val="center"/>
          </w:tcPr>
          <w:p w14:paraId="2EFD4617" w14:textId="77777777" w:rsidR="00802DFC" w:rsidRPr="00802DFC" w:rsidRDefault="00802DFC" w:rsidP="00802DFC">
            <w:pPr>
              <w:spacing w:after="60"/>
              <w:ind w:left="-72" w:right="-72"/>
              <w:jc w:val="center"/>
              <w:rPr>
                <w:rFonts w:ascii="Arial" w:eastAsia="Calibri" w:hAnsi="Arial" w:cs="Arial"/>
                <w:color w:val="FF0000"/>
                <w:sz w:val="18"/>
                <w:szCs w:val="18"/>
                <w:lang w:val="es-ES_tradnl"/>
              </w:rPr>
            </w:pPr>
          </w:p>
        </w:tc>
      </w:tr>
      <w:tr w:rsidR="00802DFC" w:rsidRPr="00802DFC" w14:paraId="6CF6B574" w14:textId="77777777" w:rsidTr="00802DFC">
        <w:trPr>
          <w:trHeight w:val="20"/>
        </w:trPr>
        <w:tc>
          <w:tcPr>
            <w:tcW w:w="1800" w:type="dxa"/>
            <w:vAlign w:val="center"/>
          </w:tcPr>
          <w:p w14:paraId="7245B636" w14:textId="77777777" w:rsidR="00802DFC" w:rsidRPr="00802DFC" w:rsidRDefault="00802DFC" w:rsidP="00802DFC">
            <w:pPr>
              <w:spacing w:after="60"/>
              <w:rPr>
                <w:rFonts w:ascii="Arial" w:eastAsia="Calibri" w:hAnsi="Arial" w:cs="Arial"/>
                <w:color w:val="000000"/>
                <w:sz w:val="18"/>
                <w:szCs w:val="18"/>
                <w:lang w:val="es-ES_tradnl"/>
              </w:rPr>
            </w:pPr>
            <w:r w:rsidRPr="00802DFC">
              <w:rPr>
                <w:rFonts w:ascii="Arial" w:eastAsia="Calibri" w:hAnsi="Arial" w:cs="Arial"/>
                <w:color w:val="000000"/>
                <w:sz w:val="18"/>
                <w:szCs w:val="18"/>
                <w:lang w:val="es-ES_tradnl"/>
              </w:rPr>
              <w:t>Tasa de mortalidad prematura Diabetes Mellitus (DM) en hombres</w:t>
            </w:r>
          </w:p>
        </w:tc>
        <w:tc>
          <w:tcPr>
            <w:tcW w:w="1350" w:type="dxa"/>
            <w:vAlign w:val="center"/>
          </w:tcPr>
          <w:p w14:paraId="776C2269" w14:textId="77777777" w:rsidR="00802DFC" w:rsidRPr="00802DFC" w:rsidRDefault="00802DFC" w:rsidP="00802DFC">
            <w:pPr>
              <w:spacing w:after="60"/>
              <w:jc w:val="center"/>
              <w:rPr>
                <w:rFonts w:ascii="Arial" w:eastAsia="Calibri" w:hAnsi="Arial" w:cs="Arial"/>
                <w:color w:val="000000"/>
                <w:sz w:val="18"/>
                <w:szCs w:val="18"/>
                <w:lang w:val="es-ES_tradnl"/>
              </w:rPr>
            </w:pPr>
            <w:r w:rsidRPr="00802DFC">
              <w:rPr>
                <w:rFonts w:ascii="Arial" w:eastAsia="Calibri" w:hAnsi="Arial" w:cs="Arial"/>
                <w:color w:val="000000"/>
                <w:sz w:val="18"/>
                <w:szCs w:val="18"/>
                <w:lang w:val="es-ES_tradnl"/>
              </w:rPr>
              <w:t>/100.000 habitantes</w:t>
            </w:r>
          </w:p>
        </w:tc>
        <w:tc>
          <w:tcPr>
            <w:tcW w:w="1170" w:type="dxa"/>
            <w:shd w:val="clear" w:color="auto" w:fill="auto"/>
            <w:vAlign w:val="center"/>
          </w:tcPr>
          <w:p w14:paraId="0A710C76"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34,67</w:t>
            </w:r>
          </w:p>
        </w:tc>
        <w:tc>
          <w:tcPr>
            <w:tcW w:w="1080" w:type="dxa"/>
            <w:vAlign w:val="center"/>
          </w:tcPr>
          <w:p w14:paraId="2DF7B727"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2020</w:t>
            </w:r>
          </w:p>
        </w:tc>
        <w:tc>
          <w:tcPr>
            <w:tcW w:w="900" w:type="dxa"/>
            <w:vAlign w:val="center"/>
          </w:tcPr>
          <w:p w14:paraId="133A140F"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30,59</w:t>
            </w:r>
          </w:p>
        </w:tc>
        <w:tc>
          <w:tcPr>
            <w:tcW w:w="810" w:type="dxa"/>
            <w:vAlign w:val="center"/>
          </w:tcPr>
          <w:p w14:paraId="36204277"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2027</w:t>
            </w:r>
          </w:p>
        </w:tc>
        <w:tc>
          <w:tcPr>
            <w:tcW w:w="1391" w:type="dxa"/>
            <w:vMerge/>
          </w:tcPr>
          <w:p w14:paraId="0EA29FDB" w14:textId="77777777" w:rsidR="00802DFC" w:rsidRPr="00802DFC" w:rsidRDefault="00802DFC" w:rsidP="00802DFC">
            <w:pPr>
              <w:spacing w:after="60"/>
              <w:rPr>
                <w:rFonts w:ascii="Arial" w:eastAsia="Calibri" w:hAnsi="Arial" w:cs="Arial"/>
                <w:i/>
                <w:iCs/>
                <w:sz w:val="18"/>
                <w:szCs w:val="18"/>
                <w:lang w:val="es-ES_tradnl"/>
              </w:rPr>
            </w:pPr>
          </w:p>
        </w:tc>
        <w:tc>
          <w:tcPr>
            <w:tcW w:w="2070" w:type="dxa"/>
            <w:vMerge/>
            <w:vAlign w:val="center"/>
          </w:tcPr>
          <w:p w14:paraId="0FDB591F" w14:textId="77777777" w:rsidR="00802DFC" w:rsidRPr="00802DFC" w:rsidRDefault="00802DFC" w:rsidP="00802DFC">
            <w:pPr>
              <w:spacing w:after="60"/>
              <w:ind w:left="-72" w:right="-72"/>
              <w:jc w:val="center"/>
              <w:rPr>
                <w:rFonts w:ascii="Arial" w:eastAsia="Calibri" w:hAnsi="Arial" w:cs="Arial"/>
                <w:color w:val="FF0000"/>
                <w:sz w:val="18"/>
                <w:szCs w:val="18"/>
                <w:lang w:val="es-ES_tradnl"/>
              </w:rPr>
            </w:pPr>
          </w:p>
        </w:tc>
      </w:tr>
      <w:tr w:rsidR="00802DFC" w:rsidRPr="00802DFC" w14:paraId="6C1753D9" w14:textId="77777777" w:rsidTr="00802DFC">
        <w:trPr>
          <w:trHeight w:val="593"/>
        </w:trPr>
        <w:tc>
          <w:tcPr>
            <w:tcW w:w="1800" w:type="dxa"/>
            <w:vAlign w:val="center"/>
          </w:tcPr>
          <w:p w14:paraId="4F9C1003" w14:textId="77777777" w:rsidR="00802DFC" w:rsidRPr="00802DFC" w:rsidRDefault="00802DFC" w:rsidP="00802DFC">
            <w:pPr>
              <w:spacing w:after="60"/>
              <w:rPr>
                <w:rFonts w:ascii="Arial" w:eastAsia="Calibri" w:hAnsi="Arial" w:cs="Arial"/>
                <w:color w:val="000000"/>
                <w:sz w:val="18"/>
                <w:szCs w:val="18"/>
                <w:lang w:val="es-ES_tradnl"/>
              </w:rPr>
            </w:pPr>
            <w:r w:rsidRPr="00802DFC">
              <w:rPr>
                <w:rFonts w:ascii="Arial" w:eastAsia="Calibri" w:hAnsi="Arial" w:cs="Arial"/>
                <w:color w:val="000000"/>
                <w:sz w:val="18"/>
                <w:szCs w:val="18"/>
                <w:lang w:val="es-ES_tradnl"/>
              </w:rPr>
              <w:t>Tasa de mortalidad neonatal tardía</w:t>
            </w:r>
          </w:p>
        </w:tc>
        <w:tc>
          <w:tcPr>
            <w:tcW w:w="1350" w:type="dxa"/>
            <w:vAlign w:val="center"/>
          </w:tcPr>
          <w:p w14:paraId="311F1A15" w14:textId="77777777" w:rsidR="00802DFC" w:rsidRPr="00802DFC" w:rsidRDefault="00802DFC" w:rsidP="00802DFC">
            <w:pPr>
              <w:spacing w:after="60"/>
              <w:jc w:val="center"/>
              <w:rPr>
                <w:rFonts w:ascii="Arial" w:eastAsia="Calibri" w:hAnsi="Arial" w:cs="Arial"/>
                <w:color w:val="000000"/>
                <w:sz w:val="18"/>
                <w:szCs w:val="18"/>
                <w:lang w:val="es-ES_tradnl"/>
              </w:rPr>
            </w:pPr>
            <w:r w:rsidRPr="00802DFC">
              <w:rPr>
                <w:rFonts w:ascii="Arial" w:eastAsia="Calibri" w:hAnsi="Arial" w:cs="Arial"/>
                <w:color w:val="000000"/>
                <w:sz w:val="18"/>
                <w:szCs w:val="18"/>
                <w:lang w:val="es-ES_tradnl"/>
              </w:rPr>
              <w:t>/1.000 nacidos vivos</w:t>
            </w:r>
          </w:p>
        </w:tc>
        <w:tc>
          <w:tcPr>
            <w:tcW w:w="1170" w:type="dxa"/>
            <w:vAlign w:val="center"/>
          </w:tcPr>
          <w:p w14:paraId="11386D0D"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3,3</w:t>
            </w:r>
          </w:p>
        </w:tc>
        <w:tc>
          <w:tcPr>
            <w:tcW w:w="1080" w:type="dxa"/>
            <w:vAlign w:val="center"/>
          </w:tcPr>
          <w:p w14:paraId="3CBC41E5"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2020</w:t>
            </w:r>
          </w:p>
        </w:tc>
        <w:tc>
          <w:tcPr>
            <w:tcW w:w="900" w:type="dxa"/>
            <w:vAlign w:val="center"/>
          </w:tcPr>
          <w:p w14:paraId="1D38D48C"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3,16</w:t>
            </w:r>
          </w:p>
        </w:tc>
        <w:tc>
          <w:tcPr>
            <w:tcW w:w="810" w:type="dxa"/>
            <w:vAlign w:val="center"/>
          </w:tcPr>
          <w:p w14:paraId="283EB6FC" w14:textId="77777777" w:rsidR="00802DFC" w:rsidRPr="00802DFC" w:rsidRDefault="00802DFC" w:rsidP="00802DFC">
            <w:pPr>
              <w:spacing w:after="60"/>
              <w:jc w:val="center"/>
              <w:rPr>
                <w:rFonts w:ascii="Arial" w:eastAsia="Calibri" w:hAnsi="Arial" w:cs="Arial"/>
                <w:sz w:val="18"/>
                <w:szCs w:val="18"/>
                <w:lang w:val="es-ES_tradnl"/>
              </w:rPr>
            </w:pPr>
            <w:r w:rsidRPr="00802DFC">
              <w:rPr>
                <w:rFonts w:ascii="Arial" w:eastAsia="Calibri" w:hAnsi="Arial" w:cs="Arial"/>
                <w:sz w:val="18"/>
                <w:szCs w:val="18"/>
                <w:lang w:val="es-ES_tradnl"/>
              </w:rPr>
              <w:t>2027</w:t>
            </w:r>
          </w:p>
        </w:tc>
        <w:tc>
          <w:tcPr>
            <w:tcW w:w="1391" w:type="dxa"/>
            <w:vMerge/>
          </w:tcPr>
          <w:p w14:paraId="08FE96E6" w14:textId="77777777" w:rsidR="00802DFC" w:rsidRPr="00802DFC" w:rsidRDefault="00802DFC" w:rsidP="00802DFC">
            <w:pPr>
              <w:spacing w:after="60"/>
              <w:rPr>
                <w:rFonts w:ascii="Arial" w:eastAsia="Calibri" w:hAnsi="Arial" w:cs="Arial"/>
                <w:sz w:val="18"/>
                <w:szCs w:val="18"/>
                <w:lang w:val="es-ES_tradnl"/>
              </w:rPr>
            </w:pPr>
          </w:p>
        </w:tc>
        <w:tc>
          <w:tcPr>
            <w:tcW w:w="2070" w:type="dxa"/>
            <w:vAlign w:val="center"/>
          </w:tcPr>
          <w:p w14:paraId="29EFB59F" w14:textId="77777777" w:rsidR="00802DFC" w:rsidRPr="00802DFC" w:rsidRDefault="00802DFC" w:rsidP="00802DFC">
            <w:pPr>
              <w:spacing w:after="60"/>
              <w:ind w:left="-72" w:right="-72"/>
              <w:jc w:val="center"/>
              <w:rPr>
                <w:rFonts w:ascii="Arial" w:eastAsia="Calibri" w:hAnsi="Arial" w:cs="Arial"/>
                <w:sz w:val="18"/>
                <w:szCs w:val="18"/>
                <w:lang w:val="es-ES_tradnl"/>
              </w:rPr>
            </w:pPr>
            <w:r w:rsidRPr="00802DFC">
              <w:rPr>
                <w:rFonts w:ascii="Arial" w:eastAsia="Calibri" w:hAnsi="Arial" w:cs="Arial"/>
                <w:sz w:val="18"/>
                <w:szCs w:val="18"/>
                <w:lang w:val="es-ES_tradnl"/>
              </w:rPr>
              <w:t>Rango de edad para la mortalidad neonatal tardía: 7 a 28 días de vida.</w:t>
            </w:r>
          </w:p>
        </w:tc>
      </w:tr>
    </w:tbl>
    <w:p w14:paraId="36A23FCD" w14:textId="220A6638" w:rsidR="004A4391" w:rsidRPr="00BB78B3" w:rsidRDefault="00F15DD6" w:rsidP="00BB78B3">
      <w:pPr>
        <w:spacing w:after="100" w:afterAutospacing="1"/>
        <w:jc w:val="both"/>
        <w:rPr>
          <w:rFonts w:ascii="Arial" w:hAnsi="Arial" w:cs="Arial"/>
          <w:sz w:val="22"/>
          <w:szCs w:val="22"/>
        </w:rPr>
      </w:pPr>
      <w:r w:rsidRPr="00210A53">
        <w:rPr>
          <w:rFonts w:ascii="Arial" w:hAnsi="Arial" w:cs="Arial"/>
          <w:sz w:val="22"/>
          <w:szCs w:val="22"/>
        </w:rPr>
        <w:lastRenderedPageBreak/>
        <w:t xml:space="preserve">Por otro lado, la consecución de los indicadores de resultados esperados </w:t>
      </w:r>
      <w:r w:rsidR="009C5F87" w:rsidRPr="00210A53">
        <w:rPr>
          <w:rFonts w:ascii="Arial" w:hAnsi="Arial" w:cs="Arial"/>
          <w:sz w:val="22"/>
          <w:szCs w:val="22"/>
        </w:rPr>
        <w:t xml:space="preserve">está asociada con </w:t>
      </w:r>
      <w:r w:rsidR="00707B05" w:rsidRPr="00210A53">
        <w:rPr>
          <w:rFonts w:ascii="Arial" w:hAnsi="Arial" w:cs="Arial"/>
          <w:sz w:val="22"/>
          <w:szCs w:val="22"/>
        </w:rPr>
        <w:t xml:space="preserve">la </w:t>
      </w:r>
      <w:r w:rsidRPr="00210A53">
        <w:rPr>
          <w:rFonts w:ascii="Arial" w:hAnsi="Arial" w:cs="Arial"/>
          <w:sz w:val="22"/>
          <w:szCs w:val="22"/>
        </w:rPr>
        <w:t>implementación adecuada de las diferentes intervenciones consideradas en este análisis. Los indicadores de resultados esperados se relacionan con la obten</w:t>
      </w:r>
      <w:r w:rsidR="00707B05" w:rsidRPr="00210A53">
        <w:rPr>
          <w:rFonts w:ascii="Arial" w:hAnsi="Arial" w:cs="Arial"/>
          <w:sz w:val="22"/>
          <w:szCs w:val="22"/>
        </w:rPr>
        <w:t xml:space="preserve">ción </w:t>
      </w:r>
      <w:r w:rsidR="009C5F87" w:rsidRPr="00210A53">
        <w:rPr>
          <w:rFonts w:ascii="Arial" w:hAnsi="Arial" w:cs="Arial"/>
          <w:sz w:val="22"/>
          <w:szCs w:val="22"/>
        </w:rPr>
        <w:t xml:space="preserve">una </w:t>
      </w:r>
      <w:r w:rsidR="00312CF6">
        <w:rPr>
          <w:rFonts w:ascii="Arial" w:hAnsi="Arial" w:cs="Arial"/>
          <w:sz w:val="22"/>
          <w:szCs w:val="22"/>
        </w:rPr>
        <w:t xml:space="preserve">mejora de la red de salud del MSA </w:t>
      </w:r>
      <w:r w:rsidR="009C5F87" w:rsidRPr="00210A53">
        <w:rPr>
          <w:rFonts w:ascii="Arial" w:hAnsi="Arial" w:cs="Arial"/>
          <w:sz w:val="22"/>
          <w:szCs w:val="22"/>
        </w:rPr>
        <w:t xml:space="preserve">por las </w:t>
      </w:r>
      <w:r w:rsidR="00B27BBE" w:rsidRPr="00210A53">
        <w:rPr>
          <w:rFonts w:ascii="Arial" w:hAnsi="Arial" w:cs="Arial"/>
          <w:sz w:val="22"/>
          <w:szCs w:val="22"/>
        </w:rPr>
        <w:t xml:space="preserve">varias inversiones en infraestructura, equipamiento y mejora en la gestión, </w:t>
      </w:r>
      <w:r w:rsidR="00B27BBE" w:rsidRPr="003A4154">
        <w:rPr>
          <w:rFonts w:ascii="Arial" w:hAnsi="Arial" w:cs="Arial"/>
          <w:sz w:val="22"/>
          <w:szCs w:val="22"/>
        </w:rPr>
        <w:t>que se reflejan en la mejora de los indicadores de resultados, como la</w:t>
      </w:r>
      <w:r w:rsidR="00C4120C" w:rsidRPr="003A4154">
        <w:rPr>
          <w:rFonts w:ascii="Arial" w:hAnsi="Arial" w:cs="Arial"/>
          <w:sz w:val="22"/>
          <w:szCs w:val="22"/>
        </w:rPr>
        <w:t xml:space="preserve"> tasa de hospitalización por </w:t>
      </w:r>
      <w:r w:rsidR="003A4154" w:rsidRPr="003A4154">
        <w:rPr>
          <w:rFonts w:ascii="Arial" w:hAnsi="Arial" w:cs="Arial"/>
          <w:sz w:val="22"/>
          <w:szCs w:val="22"/>
        </w:rPr>
        <w:t xml:space="preserve">accidente cardiovascular y </w:t>
      </w:r>
      <w:r w:rsidR="00C4120C" w:rsidRPr="003A4154">
        <w:rPr>
          <w:rFonts w:ascii="Arial" w:hAnsi="Arial" w:cs="Arial"/>
          <w:sz w:val="22"/>
          <w:szCs w:val="22"/>
        </w:rPr>
        <w:t>la</w:t>
      </w:r>
      <w:r w:rsidR="00B27BBE" w:rsidRPr="003A4154">
        <w:rPr>
          <w:rFonts w:ascii="Arial" w:hAnsi="Arial" w:cs="Arial"/>
          <w:sz w:val="22"/>
          <w:szCs w:val="22"/>
        </w:rPr>
        <w:t xml:space="preserve"> tasa de hospitalización por diabetes mellitus y sus complicacione</w:t>
      </w:r>
      <w:r w:rsidR="003A4154" w:rsidRPr="003A4154">
        <w:rPr>
          <w:rFonts w:ascii="Arial" w:hAnsi="Arial" w:cs="Arial"/>
          <w:sz w:val="22"/>
          <w:szCs w:val="22"/>
        </w:rPr>
        <w:t>s</w:t>
      </w:r>
      <w:r w:rsidR="00B27BBE" w:rsidRPr="003A4154">
        <w:rPr>
          <w:rFonts w:ascii="Arial" w:hAnsi="Arial" w:cs="Arial"/>
          <w:sz w:val="22"/>
          <w:szCs w:val="22"/>
        </w:rPr>
        <w:t>.</w:t>
      </w:r>
      <w:r w:rsidR="00B27BBE" w:rsidRPr="00C4120C">
        <w:rPr>
          <w:rFonts w:ascii="Arial" w:hAnsi="Arial" w:cs="Arial"/>
          <w:sz w:val="22"/>
          <w:szCs w:val="22"/>
        </w:rPr>
        <w:t xml:space="preserve"> A continuación, se pr</w:t>
      </w:r>
      <w:r w:rsidR="00B27BBE" w:rsidRPr="00210A53">
        <w:rPr>
          <w:rFonts w:ascii="Arial" w:hAnsi="Arial" w:cs="Arial"/>
          <w:sz w:val="22"/>
          <w:szCs w:val="22"/>
        </w:rPr>
        <w:t xml:space="preserve">esenta la tabla con los resultados esperados del programa. </w:t>
      </w:r>
    </w:p>
    <w:p w14:paraId="4ABDD012" w14:textId="54385F37" w:rsidR="008E4B5E" w:rsidRDefault="008E4B5E" w:rsidP="008A1DD3">
      <w:pPr>
        <w:spacing w:before="240" w:after="240"/>
        <w:jc w:val="center"/>
        <w:textAlignment w:val="baseline"/>
        <w:rPr>
          <w:rFonts w:ascii="Arial" w:hAnsi="Arial" w:cs="Arial"/>
          <w:b/>
          <w:bCs/>
          <w:smallCaps/>
          <w:color w:val="000000"/>
          <w:sz w:val="20"/>
          <w:szCs w:val="20"/>
        </w:rPr>
        <w:sectPr w:rsidR="008E4B5E" w:rsidSect="00890E4E">
          <w:headerReference w:type="first" r:id="rId37"/>
          <w:pgSz w:w="12240" w:h="15840"/>
          <w:pgMar w:top="1440" w:right="1440" w:bottom="1440" w:left="1440" w:header="720" w:footer="720" w:gutter="0"/>
          <w:pgNumType w:start="0"/>
          <w:cols w:space="720"/>
          <w:titlePg/>
          <w:docGrid w:linePitch="360"/>
        </w:sectPr>
      </w:pPr>
    </w:p>
    <w:p w14:paraId="0F72C014" w14:textId="26D625DF" w:rsidR="008A1DD3" w:rsidRDefault="004B7439" w:rsidP="008A1DD3">
      <w:pPr>
        <w:spacing w:before="240" w:after="240"/>
        <w:jc w:val="center"/>
        <w:textAlignment w:val="baseline"/>
        <w:rPr>
          <w:rFonts w:ascii="Arial" w:hAnsi="Arial" w:cs="Arial"/>
          <w:b/>
          <w:bCs/>
          <w:smallCaps/>
          <w:color w:val="000000"/>
          <w:sz w:val="20"/>
          <w:szCs w:val="20"/>
        </w:rPr>
      </w:pPr>
      <w:r>
        <w:rPr>
          <w:rFonts w:ascii="Arial" w:hAnsi="Arial" w:cs="Arial"/>
          <w:b/>
          <w:bCs/>
          <w:smallCaps/>
          <w:color w:val="000000"/>
          <w:sz w:val="20"/>
          <w:szCs w:val="20"/>
        </w:rPr>
        <w:lastRenderedPageBreak/>
        <w:t>Resultados Es</w:t>
      </w:r>
      <w:r w:rsidR="008A1DD3" w:rsidRPr="00880C68">
        <w:rPr>
          <w:rFonts w:ascii="Arial" w:hAnsi="Arial" w:cs="Arial"/>
          <w:b/>
          <w:bCs/>
          <w:smallCaps/>
          <w:color w:val="000000"/>
          <w:sz w:val="20"/>
          <w:szCs w:val="20"/>
        </w:rPr>
        <w:t>perados</w:t>
      </w:r>
    </w:p>
    <w:tbl>
      <w:tblPr>
        <w:tblW w:w="514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8"/>
        <w:gridCol w:w="1132"/>
        <w:gridCol w:w="759"/>
        <w:gridCol w:w="834"/>
        <w:gridCol w:w="1018"/>
        <w:gridCol w:w="2339"/>
        <w:gridCol w:w="5040"/>
      </w:tblGrid>
      <w:tr w:rsidR="00BB1350" w:rsidRPr="00EE25C0" w14:paraId="4F03A9B9" w14:textId="77777777" w:rsidTr="00BB1350">
        <w:trPr>
          <w:trHeight w:val="287"/>
          <w:tblHeader/>
        </w:trPr>
        <w:tc>
          <w:tcPr>
            <w:tcW w:w="825" w:type="pct"/>
            <w:vMerge w:val="restart"/>
            <w:shd w:val="clear" w:color="auto" w:fill="D9D9D9"/>
            <w:vAlign w:val="center"/>
          </w:tcPr>
          <w:p w14:paraId="7685458A" w14:textId="77777777" w:rsidR="00EE25C0" w:rsidRPr="00EE25C0" w:rsidRDefault="00EE25C0" w:rsidP="00EE25C0">
            <w:pPr>
              <w:jc w:val="center"/>
              <w:rPr>
                <w:rFonts w:ascii="Arial" w:eastAsia="Arial" w:hAnsi="Arial" w:cs="Arial"/>
                <w:sz w:val="18"/>
                <w:szCs w:val="18"/>
                <w:lang w:val="es-ES_tradnl"/>
              </w:rPr>
            </w:pPr>
            <w:r w:rsidRPr="00EE25C0">
              <w:rPr>
                <w:rFonts w:ascii="Arial" w:eastAsia="Calibri" w:hAnsi="Arial" w:cs="Arial"/>
                <w:b/>
                <w:bCs/>
                <w:color w:val="000000"/>
                <w:sz w:val="18"/>
                <w:szCs w:val="18"/>
                <w:lang w:val="es-ES_tradnl"/>
              </w:rPr>
              <w:t>Indicadores</w:t>
            </w:r>
          </w:p>
        </w:tc>
        <w:tc>
          <w:tcPr>
            <w:tcW w:w="425" w:type="pct"/>
            <w:vMerge w:val="restart"/>
            <w:shd w:val="clear" w:color="auto" w:fill="D9D9D9"/>
            <w:vAlign w:val="center"/>
          </w:tcPr>
          <w:p w14:paraId="71C9C002" w14:textId="77777777" w:rsidR="00EE25C0" w:rsidRPr="00EE25C0" w:rsidRDefault="00EE25C0" w:rsidP="00EE25C0">
            <w:pPr>
              <w:jc w:val="center"/>
              <w:rPr>
                <w:rFonts w:ascii="Arial" w:eastAsia="Calibri" w:hAnsi="Arial" w:cs="Arial"/>
                <w:b/>
                <w:color w:val="000000"/>
                <w:sz w:val="18"/>
                <w:szCs w:val="18"/>
                <w:lang w:val="es-ES_tradnl"/>
              </w:rPr>
            </w:pPr>
            <w:r w:rsidRPr="00EE25C0">
              <w:rPr>
                <w:rFonts w:ascii="Arial" w:eastAsia="Calibri" w:hAnsi="Arial" w:cs="Arial"/>
                <w:b/>
                <w:color w:val="000000"/>
                <w:sz w:val="18"/>
                <w:szCs w:val="18"/>
                <w:lang w:val="es-ES_tradnl"/>
              </w:rPr>
              <w:t>Unidad de Medida</w:t>
            </w:r>
          </w:p>
        </w:tc>
        <w:tc>
          <w:tcPr>
            <w:tcW w:w="598" w:type="pct"/>
            <w:gridSpan w:val="2"/>
            <w:tcBorders>
              <w:bottom w:val="single" w:sz="4" w:space="0" w:color="000000"/>
            </w:tcBorders>
            <w:shd w:val="clear" w:color="auto" w:fill="D9D9D9"/>
            <w:vAlign w:val="center"/>
          </w:tcPr>
          <w:p w14:paraId="63D7F6C0" w14:textId="77777777" w:rsidR="00EE25C0" w:rsidRPr="00EE25C0" w:rsidRDefault="00EE25C0" w:rsidP="00EE25C0">
            <w:pPr>
              <w:jc w:val="center"/>
              <w:rPr>
                <w:rFonts w:ascii="Arial" w:eastAsia="Calibri" w:hAnsi="Arial" w:cs="Arial"/>
                <w:b/>
                <w:color w:val="000000"/>
                <w:sz w:val="18"/>
                <w:szCs w:val="18"/>
                <w:lang w:val="es-ES_tradnl"/>
              </w:rPr>
            </w:pPr>
            <w:r w:rsidRPr="00EE25C0">
              <w:rPr>
                <w:rFonts w:ascii="Arial" w:eastAsia="Calibri" w:hAnsi="Arial" w:cs="Arial"/>
                <w:b/>
                <w:color w:val="000000"/>
                <w:sz w:val="18"/>
                <w:szCs w:val="18"/>
                <w:lang w:val="es-ES_tradnl"/>
              </w:rPr>
              <w:t>Línea de Base</w:t>
            </w:r>
          </w:p>
        </w:tc>
        <w:tc>
          <w:tcPr>
            <w:tcW w:w="382" w:type="pct"/>
            <w:tcBorders>
              <w:bottom w:val="single" w:sz="4" w:space="0" w:color="000000"/>
            </w:tcBorders>
            <w:shd w:val="clear" w:color="auto" w:fill="D9D9D9"/>
            <w:vAlign w:val="center"/>
          </w:tcPr>
          <w:p w14:paraId="6F21FE7C" w14:textId="77777777" w:rsidR="00EE25C0" w:rsidRPr="00EE25C0" w:rsidRDefault="00EE25C0" w:rsidP="00EE25C0">
            <w:pPr>
              <w:jc w:val="center"/>
              <w:rPr>
                <w:rFonts w:ascii="Arial" w:eastAsia="Calibri" w:hAnsi="Arial" w:cs="Arial"/>
                <w:b/>
                <w:color w:val="000000"/>
                <w:sz w:val="18"/>
                <w:szCs w:val="18"/>
                <w:lang w:val="es-ES_tradnl"/>
              </w:rPr>
            </w:pPr>
            <w:r w:rsidRPr="00EE25C0">
              <w:rPr>
                <w:rFonts w:ascii="Arial" w:eastAsia="Calibri" w:hAnsi="Arial" w:cs="Arial"/>
                <w:b/>
                <w:color w:val="000000"/>
                <w:sz w:val="18"/>
                <w:szCs w:val="18"/>
                <w:lang w:val="es-ES_tradnl"/>
              </w:rPr>
              <w:t>Metas</w:t>
            </w:r>
          </w:p>
        </w:tc>
        <w:tc>
          <w:tcPr>
            <w:tcW w:w="878" w:type="pct"/>
            <w:vMerge w:val="restart"/>
            <w:shd w:val="clear" w:color="auto" w:fill="D9D9D9"/>
            <w:vAlign w:val="center"/>
          </w:tcPr>
          <w:p w14:paraId="062CD9FB" w14:textId="77777777" w:rsidR="00EE25C0" w:rsidRPr="00EE25C0" w:rsidRDefault="00EE25C0" w:rsidP="00EE25C0">
            <w:pPr>
              <w:jc w:val="center"/>
              <w:rPr>
                <w:rFonts w:ascii="Arial" w:eastAsia="Calibri" w:hAnsi="Arial" w:cs="Arial"/>
                <w:b/>
                <w:color w:val="000000"/>
                <w:sz w:val="18"/>
                <w:szCs w:val="18"/>
                <w:lang w:val="es-ES_tradnl"/>
              </w:rPr>
            </w:pPr>
            <w:r w:rsidRPr="00EE25C0">
              <w:rPr>
                <w:rFonts w:ascii="Arial" w:eastAsia="Calibri" w:hAnsi="Arial" w:cs="Arial"/>
                <w:b/>
                <w:color w:val="000000"/>
                <w:sz w:val="18"/>
                <w:szCs w:val="18"/>
                <w:lang w:val="es-ES_tradnl"/>
              </w:rPr>
              <w:t>Medios de Verificación</w:t>
            </w:r>
          </w:p>
        </w:tc>
        <w:tc>
          <w:tcPr>
            <w:tcW w:w="1892" w:type="pct"/>
            <w:vMerge w:val="restart"/>
            <w:shd w:val="clear" w:color="auto" w:fill="D9D9D9"/>
            <w:vAlign w:val="center"/>
          </w:tcPr>
          <w:p w14:paraId="01B31A46" w14:textId="77777777" w:rsidR="00EE25C0" w:rsidRPr="00EE25C0" w:rsidRDefault="00EE25C0" w:rsidP="00EE25C0">
            <w:pPr>
              <w:jc w:val="center"/>
              <w:rPr>
                <w:rFonts w:ascii="Arial" w:eastAsia="Arial" w:hAnsi="Arial" w:cs="Arial"/>
                <w:sz w:val="18"/>
                <w:szCs w:val="18"/>
                <w:lang w:val="es-ES_tradnl"/>
              </w:rPr>
            </w:pPr>
            <w:r w:rsidRPr="00EE25C0">
              <w:rPr>
                <w:rFonts w:ascii="Arial" w:eastAsia="Calibri" w:hAnsi="Arial" w:cs="Arial"/>
                <w:b/>
                <w:bCs/>
                <w:color w:val="000000"/>
                <w:sz w:val="18"/>
                <w:szCs w:val="18"/>
                <w:lang w:val="es-ES_tradnl"/>
              </w:rPr>
              <w:t>Comentarios</w:t>
            </w:r>
          </w:p>
        </w:tc>
      </w:tr>
      <w:tr w:rsidR="00BB1350" w:rsidRPr="00EE25C0" w14:paraId="2E582E59" w14:textId="77777777" w:rsidTr="00BB1350">
        <w:trPr>
          <w:trHeight w:val="530"/>
          <w:tblHeader/>
        </w:trPr>
        <w:tc>
          <w:tcPr>
            <w:tcW w:w="825" w:type="pct"/>
            <w:vMerge/>
            <w:shd w:val="clear" w:color="auto" w:fill="D9D9D9"/>
            <w:vAlign w:val="center"/>
          </w:tcPr>
          <w:p w14:paraId="5A93042F" w14:textId="77777777" w:rsidR="00EE25C0" w:rsidRPr="00EE25C0" w:rsidRDefault="00EE25C0" w:rsidP="00EE25C0">
            <w:pPr>
              <w:jc w:val="center"/>
              <w:rPr>
                <w:rFonts w:ascii="Arial" w:eastAsia="Calibri" w:hAnsi="Arial" w:cs="Arial"/>
                <w:b/>
                <w:bCs/>
                <w:color w:val="000000"/>
                <w:sz w:val="18"/>
                <w:szCs w:val="18"/>
                <w:lang w:val="es-ES_tradnl"/>
              </w:rPr>
            </w:pPr>
          </w:p>
        </w:tc>
        <w:tc>
          <w:tcPr>
            <w:tcW w:w="425" w:type="pct"/>
            <w:vMerge/>
            <w:shd w:val="clear" w:color="auto" w:fill="D9D9D9"/>
            <w:vAlign w:val="center"/>
          </w:tcPr>
          <w:p w14:paraId="55147815" w14:textId="77777777" w:rsidR="00EE25C0" w:rsidRPr="00EE25C0" w:rsidRDefault="00EE25C0" w:rsidP="00EE25C0">
            <w:pPr>
              <w:jc w:val="center"/>
              <w:rPr>
                <w:rFonts w:ascii="Arial" w:eastAsia="Calibri" w:hAnsi="Arial" w:cs="Arial"/>
                <w:b/>
                <w:color w:val="000000"/>
                <w:sz w:val="18"/>
                <w:szCs w:val="18"/>
                <w:lang w:val="es-ES_tradnl"/>
              </w:rPr>
            </w:pPr>
          </w:p>
        </w:tc>
        <w:tc>
          <w:tcPr>
            <w:tcW w:w="285" w:type="pct"/>
            <w:tcBorders>
              <w:bottom w:val="single" w:sz="4" w:space="0" w:color="000000"/>
            </w:tcBorders>
            <w:shd w:val="clear" w:color="auto" w:fill="D9D9D9"/>
            <w:vAlign w:val="center"/>
          </w:tcPr>
          <w:p w14:paraId="0D4FA4E2" w14:textId="77777777" w:rsidR="00EE25C0" w:rsidRPr="00EE25C0" w:rsidRDefault="00EE25C0" w:rsidP="00EE25C0">
            <w:pPr>
              <w:jc w:val="center"/>
              <w:rPr>
                <w:rFonts w:ascii="Arial" w:eastAsia="Calibri" w:hAnsi="Arial" w:cs="Arial"/>
                <w:b/>
                <w:color w:val="000000"/>
                <w:sz w:val="18"/>
                <w:szCs w:val="18"/>
                <w:lang w:val="es-ES_tradnl"/>
              </w:rPr>
            </w:pPr>
            <w:r w:rsidRPr="00EE25C0">
              <w:rPr>
                <w:rFonts w:ascii="Arial" w:eastAsia="Calibri" w:hAnsi="Arial" w:cs="Arial"/>
                <w:b/>
                <w:color w:val="000000"/>
                <w:sz w:val="18"/>
                <w:szCs w:val="18"/>
                <w:lang w:val="es-ES_tradnl"/>
              </w:rPr>
              <w:t>Valor</w:t>
            </w:r>
          </w:p>
        </w:tc>
        <w:tc>
          <w:tcPr>
            <w:tcW w:w="313" w:type="pct"/>
            <w:tcBorders>
              <w:bottom w:val="single" w:sz="4" w:space="0" w:color="000000"/>
            </w:tcBorders>
            <w:shd w:val="clear" w:color="auto" w:fill="D9D9D9"/>
            <w:vAlign w:val="center"/>
          </w:tcPr>
          <w:p w14:paraId="4375311E" w14:textId="77777777" w:rsidR="00EE25C0" w:rsidRPr="00EE25C0" w:rsidRDefault="00EE25C0" w:rsidP="00EE25C0">
            <w:pPr>
              <w:jc w:val="center"/>
              <w:rPr>
                <w:rFonts w:ascii="Arial" w:eastAsia="Calibri" w:hAnsi="Arial" w:cs="Arial"/>
                <w:b/>
                <w:color w:val="000000"/>
                <w:sz w:val="18"/>
                <w:szCs w:val="18"/>
                <w:lang w:val="es-ES_tradnl"/>
              </w:rPr>
            </w:pPr>
            <w:r w:rsidRPr="00EE25C0">
              <w:rPr>
                <w:rFonts w:ascii="Arial" w:eastAsia="Calibri" w:hAnsi="Arial" w:cs="Arial"/>
                <w:b/>
                <w:color w:val="000000"/>
                <w:sz w:val="18"/>
                <w:szCs w:val="18"/>
                <w:lang w:val="es-ES_tradnl"/>
              </w:rPr>
              <w:t>Año</w:t>
            </w:r>
          </w:p>
        </w:tc>
        <w:tc>
          <w:tcPr>
            <w:tcW w:w="382" w:type="pct"/>
            <w:tcBorders>
              <w:bottom w:val="single" w:sz="4" w:space="0" w:color="000000"/>
            </w:tcBorders>
            <w:shd w:val="clear" w:color="auto" w:fill="D9D9D9"/>
            <w:vAlign w:val="center"/>
          </w:tcPr>
          <w:p w14:paraId="01EA1C87" w14:textId="77777777" w:rsidR="00EE25C0" w:rsidRPr="00EE25C0" w:rsidRDefault="00EE25C0" w:rsidP="00EE25C0">
            <w:pPr>
              <w:jc w:val="center"/>
              <w:rPr>
                <w:rFonts w:ascii="Arial" w:eastAsia="Calibri" w:hAnsi="Arial" w:cs="Arial"/>
                <w:b/>
                <w:color w:val="000000"/>
                <w:sz w:val="18"/>
                <w:szCs w:val="18"/>
                <w:lang w:val="es-ES_tradnl"/>
              </w:rPr>
            </w:pPr>
            <w:r w:rsidRPr="00EE25C0">
              <w:rPr>
                <w:rFonts w:ascii="Arial" w:eastAsia="Calibri" w:hAnsi="Arial" w:cs="Arial"/>
                <w:b/>
                <w:color w:val="000000"/>
                <w:sz w:val="18"/>
                <w:szCs w:val="18"/>
                <w:lang w:val="es-ES_tradnl"/>
              </w:rPr>
              <w:t>Total / Fin del Proyecto</w:t>
            </w:r>
          </w:p>
        </w:tc>
        <w:tc>
          <w:tcPr>
            <w:tcW w:w="878" w:type="pct"/>
            <w:vMerge/>
            <w:shd w:val="clear" w:color="auto" w:fill="D9D9D9"/>
            <w:vAlign w:val="center"/>
          </w:tcPr>
          <w:p w14:paraId="0D55053E" w14:textId="77777777" w:rsidR="00EE25C0" w:rsidRPr="00EE25C0" w:rsidRDefault="00EE25C0" w:rsidP="00EE25C0">
            <w:pPr>
              <w:jc w:val="center"/>
              <w:rPr>
                <w:rFonts w:ascii="Arial" w:eastAsia="Calibri" w:hAnsi="Arial" w:cs="Arial"/>
                <w:b/>
                <w:color w:val="000000"/>
                <w:sz w:val="18"/>
                <w:szCs w:val="18"/>
                <w:lang w:val="es-ES_tradnl"/>
              </w:rPr>
            </w:pPr>
          </w:p>
        </w:tc>
        <w:tc>
          <w:tcPr>
            <w:tcW w:w="1892" w:type="pct"/>
            <w:vMerge/>
            <w:shd w:val="clear" w:color="auto" w:fill="D9D9D9"/>
            <w:vAlign w:val="center"/>
          </w:tcPr>
          <w:p w14:paraId="11B6D6B9" w14:textId="77777777" w:rsidR="00EE25C0" w:rsidRPr="00EE25C0" w:rsidRDefault="00EE25C0" w:rsidP="00EE25C0">
            <w:pPr>
              <w:jc w:val="center"/>
              <w:rPr>
                <w:rFonts w:ascii="Arial" w:eastAsia="Calibri" w:hAnsi="Arial" w:cs="Arial"/>
                <w:b/>
                <w:bCs/>
                <w:color w:val="000000"/>
                <w:sz w:val="18"/>
                <w:szCs w:val="18"/>
                <w:lang w:val="es-ES_tradnl"/>
              </w:rPr>
            </w:pPr>
          </w:p>
        </w:tc>
      </w:tr>
      <w:tr w:rsidR="00EE25C0" w:rsidRPr="00EE25C0" w14:paraId="21D416AB" w14:textId="77777777" w:rsidTr="00EE25C0">
        <w:trPr>
          <w:trHeight w:val="350"/>
        </w:trPr>
        <w:tc>
          <w:tcPr>
            <w:tcW w:w="5000" w:type="pct"/>
            <w:gridSpan w:val="7"/>
            <w:shd w:val="clear" w:color="auto" w:fill="B8CCE4"/>
            <w:vAlign w:val="center"/>
          </w:tcPr>
          <w:p w14:paraId="07F6CAF0" w14:textId="77777777" w:rsidR="00EE25C0" w:rsidRPr="00EE25C0" w:rsidRDefault="00EE25C0" w:rsidP="00EE25C0">
            <w:pPr>
              <w:ind w:right="-5334"/>
              <w:rPr>
                <w:rFonts w:ascii="Arial" w:eastAsia="Calibri" w:hAnsi="Arial" w:cs="Arial"/>
                <w:sz w:val="18"/>
                <w:szCs w:val="18"/>
                <w:lang w:val="es-ES_tradnl"/>
              </w:rPr>
            </w:pPr>
            <w:r w:rsidRPr="00EE25C0">
              <w:rPr>
                <w:rFonts w:ascii="Arial" w:eastAsia="Calibri" w:hAnsi="Arial" w:cs="Arial"/>
                <w:b/>
                <w:bCs/>
                <w:sz w:val="18"/>
                <w:szCs w:val="18"/>
                <w:lang w:val="es-ES_tradnl"/>
              </w:rPr>
              <w:t>Objetivo específico de desarrollo 1: Ampliar el acceso y la calidad de los servicios de salud del Estado de Sergipe.</w:t>
            </w:r>
            <w:r w:rsidRPr="00EE25C0" w:rsidDel="00841195">
              <w:rPr>
                <w:rFonts w:ascii="Arial" w:eastAsia="Calibri" w:hAnsi="Arial" w:cs="Arial"/>
                <w:sz w:val="18"/>
                <w:szCs w:val="18"/>
                <w:lang w:val="es-ES_tradnl"/>
              </w:rPr>
              <w:t xml:space="preserve"> </w:t>
            </w:r>
          </w:p>
        </w:tc>
      </w:tr>
      <w:tr w:rsidR="00EE25C0" w:rsidRPr="00EE25C0" w14:paraId="74D522CC" w14:textId="77777777" w:rsidTr="00BB1350">
        <w:trPr>
          <w:trHeight w:val="19"/>
        </w:trPr>
        <w:tc>
          <w:tcPr>
            <w:tcW w:w="825" w:type="pct"/>
            <w:vAlign w:val="center"/>
          </w:tcPr>
          <w:p w14:paraId="6076662A" w14:textId="77777777" w:rsidR="00EE25C0" w:rsidRPr="00EE25C0" w:rsidRDefault="00EE25C0" w:rsidP="00EE25C0">
            <w:pPr>
              <w:contextualSpacing/>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Número de personas que reciben servicios de salud</w:t>
            </w:r>
            <w:r w:rsidRPr="00EE25C0">
              <w:rPr>
                <w:rFonts w:ascii="Arial" w:eastAsia="Calibri" w:hAnsi="Arial" w:cs="Arial"/>
                <w:color w:val="000000"/>
                <w:sz w:val="18"/>
                <w:szCs w:val="18"/>
                <w:vertAlign w:val="superscript"/>
                <w:lang w:val="es-ES_tradnl"/>
              </w:rPr>
              <w:footnoteReference w:id="13"/>
            </w:r>
          </w:p>
        </w:tc>
        <w:tc>
          <w:tcPr>
            <w:tcW w:w="425" w:type="pct"/>
            <w:vAlign w:val="center"/>
          </w:tcPr>
          <w:p w14:paraId="393A38C1" w14:textId="77777777" w:rsidR="00EE25C0" w:rsidRPr="00EE25C0" w:rsidRDefault="00EE25C0" w:rsidP="00EE25C0">
            <w:pPr>
              <w:jc w:val="center"/>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w:t>
            </w:r>
          </w:p>
        </w:tc>
        <w:tc>
          <w:tcPr>
            <w:tcW w:w="285" w:type="pct"/>
            <w:vAlign w:val="center"/>
          </w:tcPr>
          <w:p w14:paraId="09A01E08"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2.011.407</w:t>
            </w:r>
          </w:p>
        </w:tc>
        <w:tc>
          <w:tcPr>
            <w:tcW w:w="313" w:type="pct"/>
            <w:vAlign w:val="center"/>
          </w:tcPr>
          <w:p w14:paraId="5EACCB2E"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2021</w:t>
            </w:r>
          </w:p>
        </w:tc>
        <w:tc>
          <w:tcPr>
            <w:tcW w:w="382" w:type="pct"/>
            <w:vAlign w:val="center"/>
          </w:tcPr>
          <w:p w14:paraId="25FB9F58"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2.111.977</w:t>
            </w:r>
          </w:p>
        </w:tc>
        <w:tc>
          <w:tcPr>
            <w:tcW w:w="878" w:type="pct"/>
            <w:vAlign w:val="center"/>
          </w:tcPr>
          <w:p w14:paraId="411CC192" w14:textId="77777777" w:rsidR="00EE25C0" w:rsidRPr="00EE25C0" w:rsidRDefault="00EE25C0" w:rsidP="00EE25C0">
            <w:pPr>
              <w:contextualSpacing/>
              <w:rPr>
                <w:rFonts w:ascii="Arial" w:eastAsia="Calibri" w:hAnsi="Arial" w:cs="Arial"/>
                <w:sz w:val="18"/>
                <w:szCs w:val="18"/>
                <w:lang w:val="en-US"/>
              </w:rPr>
            </w:pPr>
            <w:r w:rsidRPr="00EE25C0">
              <w:rPr>
                <w:rFonts w:ascii="Arial" w:eastAsia="Calibri" w:hAnsi="Arial" w:cs="Arial"/>
                <w:sz w:val="18"/>
                <w:szCs w:val="18"/>
                <w:lang w:val="en-US"/>
              </w:rPr>
              <w:t xml:space="preserve">ANS: </w:t>
            </w:r>
            <w:hyperlink r:id="rId38" w:history="1">
              <w:r w:rsidRPr="00EE25C0">
                <w:rPr>
                  <w:rFonts w:ascii="Arial" w:eastAsia="Calibri" w:hAnsi="Arial" w:cs="Arial"/>
                  <w:color w:val="0000FF"/>
                  <w:sz w:val="18"/>
                  <w:szCs w:val="18"/>
                  <w:u w:val="single"/>
                  <w:lang w:val="en-US"/>
                </w:rPr>
                <w:t>https://www.ans.gov.br/anstabnet/cgi-bin/tabnet?dados/tabnet_br.def</w:t>
              </w:r>
            </w:hyperlink>
          </w:p>
        </w:tc>
        <w:tc>
          <w:tcPr>
            <w:tcW w:w="1892" w:type="pct"/>
            <w:vAlign w:val="center"/>
          </w:tcPr>
          <w:p w14:paraId="073AC646"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Se refiere a la población con cobertura exclusiva del SUS, es decir que no cuenta con seguros privados de salud. Se estima un crecimiento de 5% hasta el final del proyecto.</w:t>
            </w:r>
          </w:p>
        </w:tc>
      </w:tr>
      <w:tr w:rsidR="00EE25C0" w:rsidRPr="00EE25C0" w14:paraId="79D72220" w14:textId="77777777" w:rsidTr="00BB1350">
        <w:trPr>
          <w:trHeight w:val="19"/>
        </w:trPr>
        <w:tc>
          <w:tcPr>
            <w:tcW w:w="825" w:type="pct"/>
            <w:vAlign w:val="center"/>
          </w:tcPr>
          <w:p w14:paraId="2FA4F53B" w14:textId="77777777" w:rsidR="00EE25C0" w:rsidRPr="00EE25C0" w:rsidRDefault="00EE25C0" w:rsidP="00EE25C0">
            <w:pPr>
              <w:contextualSpacing/>
              <w:rPr>
                <w:rFonts w:ascii="Arial" w:eastAsia="Calibri" w:hAnsi="Arial" w:cs="Arial"/>
                <w:color w:val="000000"/>
                <w:sz w:val="18"/>
                <w:szCs w:val="18"/>
                <w:highlight w:val="yellow"/>
                <w:lang w:val="es-ES_tradnl"/>
              </w:rPr>
            </w:pPr>
            <w:r w:rsidRPr="00EE25C0">
              <w:rPr>
                <w:rFonts w:ascii="Arial" w:eastAsia="Calibri" w:hAnsi="Arial" w:cs="Arial"/>
                <w:color w:val="000000"/>
                <w:sz w:val="18"/>
                <w:szCs w:val="18"/>
                <w:lang w:val="es-ES_tradnl"/>
              </w:rPr>
              <w:t>Tiempo promedio en días de espera para acceder a exámenes de resonancia magnética</w:t>
            </w:r>
          </w:p>
        </w:tc>
        <w:tc>
          <w:tcPr>
            <w:tcW w:w="425" w:type="pct"/>
            <w:vAlign w:val="center"/>
          </w:tcPr>
          <w:p w14:paraId="66609B7E" w14:textId="77777777" w:rsidR="00EE25C0" w:rsidRPr="00EE25C0" w:rsidRDefault="00EE25C0" w:rsidP="00EE25C0">
            <w:pPr>
              <w:jc w:val="center"/>
              <w:rPr>
                <w:rFonts w:ascii="Arial" w:eastAsia="Calibri" w:hAnsi="Arial" w:cs="Arial"/>
                <w:color w:val="000000"/>
                <w:sz w:val="18"/>
                <w:szCs w:val="18"/>
                <w:highlight w:val="yellow"/>
                <w:lang w:val="es-ES_tradnl"/>
              </w:rPr>
            </w:pPr>
            <w:r w:rsidRPr="00EE25C0">
              <w:rPr>
                <w:rFonts w:ascii="Arial" w:eastAsia="Calibri" w:hAnsi="Arial" w:cs="Arial"/>
                <w:color w:val="000000"/>
                <w:sz w:val="18"/>
                <w:szCs w:val="18"/>
                <w:lang w:val="es-ES_tradnl"/>
              </w:rPr>
              <w:t># días</w:t>
            </w:r>
          </w:p>
        </w:tc>
        <w:tc>
          <w:tcPr>
            <w:tcW w:w="285" w:type="pct"/>
            <w:vAlign w:val="center"/>
          </w:tcPr>
          <w:p w14:paraId="233A206B" w14:textId="77777777" w:rsidR="00EE25C0" w:rsidRPr="00EE25C0" w:rsidRDefault="00EE25C0" w:rsidP="00EE25C0">
            <w:pPr>
              <w:jc w:val="center"/>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90</w:t>
            </w:r>
          </w:p>
        </w:tc>
        <w:tc>
          <w:tcPr>
            <w:tcW w:w="313" w:type="pct"/>
            <w:vAlign w:val="center"/>
          </w:tcPr>
          <w:p w14:paraId="07FA7514" w14:textId="77777777" w:rsidR="00EE25C0" w:rsidRPr="00EE25C0" w:rsidRDefault="00EE25C0" w:rsidP="00EE25C0">
            <w:pPr>
              <w:jc w:val="center"/>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2021</w:t>
            </w:r>
          </w:p>
        </w:tc>
        <w:tc>
          <w:tcPr>
            <w:tcW w:w="382" w:type="pct"/>
            <w:vAlign w:val="center"/>
          </w:tcPr>
          <w:p w14:paraId="2E6A2954" w14:textId="77777777" w:rsidR="00EE25C0" w:rsidRPr="00EE25C0" w:rsidRDefault="00EE25C0" w:rsidP="00EE25C0">
            <w:pPr>
              <w:jc w:val="center"/>
              <w:rPr>
                <w:rFonts w:ascii="Arial" w:eastAsia="Calibri" w:hAnsi="Arial" w:cs="Arial"/>
                <w:color w:val="000000"/>
                <w:sz w:val="18"/>
                <w:szCs w:val="18"/>
                <w:highlight w:val="yellow"/>
                <w:lang w:val="es-ES_tradnl"/>
              </w:rPr>
            </w:pPr>
            <w:r w:rsidRPr="00EE25C0">
              <w:rPr>
                <w:rFonts w:ascii="Arial" w:eastAsia="Calibri" w:hAnsi="Arial" w:cs="Arial"/>
                <w:color w:val="000000"/>
                <w:sz w:val="18"/>
                <w:szCs w:val="18"/>
                <w:lang w:val="es-ES_tradnl"/>
              </w:rPr>
              <w:t>30</w:t>
            </w:r>
          </w:p>
        </w:tc>
        <w:tc>
          <w:tcPr>
            <w:tcW w:w="878" w:type="pct"/>
            <w:vAlign w:val="center"/>
          </w:tcPr>
          <w:p w14:paraId="39C043AC" w14:textId="77777777" w:rsidR="00EE25C0" w:rsidRPr="00EE25C0" w:rsidRDefault="00EE25C0" w:rsidP="00EE25C0">
            <w:pPr>
              <w:contextualSpacing/>
              <w:rPr>
                <w:rFonts w:ascii="Arial" w:eastAsia="Calibri" w:hAnsi="Arial" w:cs="Arial"/>
                <w:color w:val="000000"/>
                <w:sz w:val="18"/>
                <w:szCs w:val="18"/>
                <w:highlight w:val="yellow"/>
                <w:lang w:val="es-ES_tradnl"/>
              </w:rPr>
            </w:pPr>
            <w:r w:rsidRPr="00EE25C0">
              <w:rPr>
                <w:rFonts w:ascii="Arial" w:eastAsia="Calibri" w:hAnsi="Arial" w:cs="Arial"/>
                <w:color w:val="000000"/>
                <w:sz w:val="18"/>
                <w:szCs w:val="18"/>
                <w:lang w:val="es-ES_tradnl"/>
              </w:rPr>
              <w:t xml:space="preserve">Central de Regulación (Sistema </w:t>
            </w:r>
            <w:proofErr w:type="spellStart"/>
            <w:r w:rsidRPr="00EE25C0">
              <w:rPr>
                <w:rFonts w:ascii="Arial" w:eastAsia="Calibri" w:hAnsi="Arial" w:cs="Arial"/>
                <w:color w:val="000000"/>
                <w:sz w:val="18"/>
                <w:szCs w:val="18"/>
                <w:lang w:val="es-ES_tradnl"/>
              </w:rPr>
              <w:t>Acone</w:t>
            </w:r>
            <w:proofErr w:type="spellEnd"/>
            <w:r w:rsidRPr="00EE25C0">
              <w:rPr>
                <w:rFonts w:ascii="Arial" w:eastAsia="Calibri" w:hAnsi="Arial" w:cs="Arial"/>
                <w:color w:val="000000"/>
                <w:sz w:val="18"/>
                <w:szCs w:val="18"/>
                <w:lang w:val="es-ES_tradnl"/>
              </w:rPr>
              <w:t>)</w:t>
            </w:r>
          </w:p>
        </w:tc>
        <w:tc>
          <w:tcPr>
            <w:tcW w:w="1892" w:type="pct"/>
            <w:vAlign w:val="center"/>
          </w:tcPr>
          <w:p w14:paraId="1FF0F441"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Número de días entre la solicitud hasta su realización. Se ha elegido un examen que se utiliza para el diagnóstico de diversas enfermedades crónicas o de sus consecuencias.</w:t>
            </w:r>
          </w:p>
        </w:tc>
      </w:tr>
      <w:tr w:rsidR="00EE25C0" w:rsidRPr="00EE25C0" w14:paraId="62F0EFDE" w14:textId="77777777" w:rsidTr="00BB1350">
        <w:trPr>
          <w:trHeight w:val="19"/>
        </w:trPr>
        <w:tc>
          <w:tcPr>
            <w:tcW w:w="825" w:type="pct"/>
            <w:vAlign w:val="center"/>
          </w:tcPr>
          <w:p w14:paraId="4D450E86" w14:textId="77777777" w:rsidR="00EE25C0" w:rsidRPr="00EE25C0" w:rsidRDefault="00EE25C0" w:rsidP="00EE25C0">
            <w:pPr>
              <w:contextualSpacing/>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 de mujeres (25-64 años) con examen cito-patológico realizado anualmente</w:t>
            </w:r>
          </w:p>
        </w:tc>
        <w:tc>
          <w:tcPr>
            <w:tcW w:w="425" w:type="pct"/>
            <w:vAlign w:val="center"/>
          </w:tcPr>
          <w:p w14:paraId="6D4B0FE8" w14:textId="77777777" w:rsidR="00EE25C0" w:rsidRPr="00EE25C0" w:rsidRDefault="00EE25C0" w:rsidP="00EE25C0">
            <w:pPr>
              <w:jc w:val="center"/>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w:t>
            </w:r>
          </w:p>
        </w:tc>
        <w:tc>
          <w:tcPr>
            <w:tcW w:w="285" w:type="pct"/>
            <w:vAlign w:val="center"/>
          </w:tcPr>
          <w:p w14:paraId="73AE2054"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15%</w:t>
            </w:r>
          </w:p>
        </w:tc>
        <w:tc>
          <w:tcPr>
            <w:tcW w:w="313" w:type="pct"/>
            <w:vAlign w:val="center"/>
          </w:tcPr>
          <w:p w14:paraId="7A1B29D4"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2020</w:t>
            </w:r>
          </w:p>
        </w:tc>
        <w:tc>
          <w:tcPr>
            <w:tcW w:w="382" w:type="pct"/>
            <w:vAlign w:val="center"/>
          </w:tcPr>
          <w:p w14:paraId="7F2098D5" w14:textId="77777777" w:rsidR="00EE25C0" w:rsidRPr="00EE25C0" w:rsidRDefault="00EE25C0" w:rsidP="00EE25C0">
            <w:pPr>
              <w:jc w:val="center"/>
              <w:rPr>
                <w:rFonts w:ascii="Arial" w:eastAsia="Calibri" w:hAnsi="Arial" w:cs="Arial"/>
                <w:bCs/>
                <w:sz w:val="18"/>
                <w:szCs w:val="18"/>
                <w:lang w:val="es-ES_tradnl"/>
              </w:rPr>
            </w:pPr>
            <w:r w:rsidRPr="00EE25C0">
              <w:rPr>
                <w:rFonts w:ascii="Arial" w:eastAsia="Calibri" w:hAnsi="Arial" w:cs="Arial"/>
                <w:bCs/>
                <w:sz w:val="18"/>
                <w:szCs w:val="18"/>
                <w:lang w:val="es-ES_tradnl"/>
              </w:rPr>
              <w:t xml:space="preserve">66% </w:t>
            </w:r>
          </w:p>
        </w:tc>
        <w:tc>
          <w:tcPr>
            <w:tcW w:w="878" w:type="pct"/>
            <w:vAlign w:val="center"/>
          </w:tcPr>
          <w:p w14:paraId="20941619" w14:textId="77777777" w:rsidR="00EE25C0" w:rsidRPr="00EE25C0" w:rsidRDefault="00EE25C0" w:rsidP="00EE25C0">
            <w:pPr>
              <w:contextualSpacing/>
              <w:rPr>
                <w:rFonts w:ascii="Arial" w:eastAsia="Calibri" w:hAnsi="Arial" w:cs="Arial"/>
                <w:color w:val="000000"/>
                <w:sz w:val="18"/>
                <w:szCs w:val="18"/>
                <w:lang w:val="pt-BR"/>
              </w:rPr>
            </w:pPr>
            <w:r w:rsidRPr="00EE25C0">
              <w:rPr>
                <w:rFonts w:ascii="Arial" w:eastAsia="Calibri" w:hAnsi="Arial" w:cs="Arial"/>
                <w:color w:val="000000"/>
                <w:sz w:val="18"/>
                <w:szCs w:val="18"/>
                <w:lang w:val="pt-BR"/>
              </w:rPr>
              <w:t xml:space="preserve">Sistema de </w:t>
            </w:r>
            <w:proofErr w:type="spellStart"/>
            <w:r w:rsidRPr="00EE25C0">
              <w:rPr>
                <w:rFonts w:ascii="Arial" w:eastAsia="Calibri" w:hAnsi="Arial" w:cs="Arial"/>
                <w:color w:val="000000"/>
                <w:sz w:val="18"/>
                <w:szCs w:val="18"/>
                <w:lang w:val="pt-BR"/>
              </w:rPr>
              <w:t>Informaçión</w:t>
            </w:r>
            <w:proofErr w:type="spellEnd"/>
            <w:r w:rsidRPr="00EE25C0">
              <w:rPr>
                <w:rFonts w:ascii="Arial" w:eastAsia="Calibri" w:hAnsi="Arial" w:cs="Arial"/>
                <w:color w:val="000000"/>
                <w:sz w:val="18"/>
                <w:szCs w:val="18"/>
                <w:lang w:val="pt-BR"/>
              </w:rPr>
              <w:t xml:space="preserve"> </w:t>
            </w:r>
            <w:proofErr w:type="spellStart"/>
            <w:r w:rsidRPr="00EE25C0">
              <w:rPr>
                <w:rFonts w:ascii="Arial" w:eastAsia="Calibri" w:hAnsi="Arial" w:cs="Arial"/>
                <w:color w:val="000000"/>
                <w:sz w:val="18"/>
                <w:szCs w:val="18"/>
                <w:lang w:val="pt-BR"/>
              </w:rPr>
              <w:t>Ambulatoria</w:t>
            </w:r>
            <w:proofErr w:type="spellEnd"/>
            <w:r w:rsidRPr="00EE25C0">
              <w:rPr>
                <w:rFonts w:ascii="Arial" w:eastAsia="Calibri" w:hAnsi="Arial" w:cs="Arial"/>
                <w:i/>
                <w:iCs/>
                <w:color w:val="000000"/>
                <w:sz w:val="18"/>
                <w:szCs w:val="18"/>
                <w:lang w:val="pt-BR"/>
              </w:rPr>
              <w:t xml:space="preserve"> </w:t>
            </w:r>
            <w:r w:rsidRPr="00EE25C0">
              <w:rPr>
                <w:rFonts w:ascii="Arial" w:eastAsia="Calibri" w:hAnsi="Arial" w:cs="Arial"/>
                <w:color w:val="000000"/>
                <w:sz w:val="18"/>
                <w:szCs w:val="18"/>
                <w:lang w:val="pt-BR"/>
              </w:rPr>
              <w:t>de SUS (SIA) - DATASUS y IBGE</w:t>
            </w:r>
          </w:p>
        </w:tc>
        <w:tc>
          <w:tcPr>
            <w:tcW w:w="1892" w:type="pct"/>
            <w:vAlign w:val="center"/>
          </w:tcPr>
          <w:p w14:paraId="6C207427"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De acuerdo con el Plan Plurianual 2020-2023.</w:t>
            </w:r>
          </w:p>
          <w:p w14:paraId="3414E96A" w14:textId="77777777" w:rsidR="00EE25C0" w:rsidRPr="00EE25C0" w:rsidRDefault="00EE25C0" w:rsidP="00EE25C0">
            <w:pPr>
              <w:contextualSpacing/>
              <w:rPr>
                <w:rFonts w:ascii="Arial" w:eastAsia="Calibri" w:hAnsi="Arial" w:cs="Arial"/>
                <w:sz w:val="18"/>
                <w:szCs w:val="18"/>
                <w:lang w:val="es-ES_tradnl"/>
              </w:rPr>
            </w:pPr>
          </w:p>
          <w:p w14:paraId="214B5B0E"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(Número de exámenes cito-patológicos en mujeres de 25 a 64 años / mujeres de 25 a 64 años residentes en el ESE) x 100.</w:t>
            </w:r>
          </w:p>
        </w:tc>
      </w:tr>
      <w:tr w:rsidR="00EE25C0" w:rsidRPr="00EE25C0" w14:paraId="5EB241A3" w14:textId="77777777" w:rsidTr="00BB1350">
        <w:trPr>
          <w:trHeight w:val="19"/>
        </w:trPr>
        <w:tc>
          <w:tcPr>
            <w:tcW w:w="825" w:type="pct"/>
            <w:vAlign w:val="center"/>
          </w:tcPr>
          <w:p w14:paraId="502EF1F0" w14:textId="77777777" w:rsidR="00EE25C0" w:rsidRPr="00EE25C0" w:rsidRDefault="00EE25C0" w:rsidP="00EE25C0">
            <w:pPr>
              <w:contextualSpacing/>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 de mujeres (50-69 años) con mamografía de rastreo realizado</w:t>
            </w:r>
          </w:p>
        </w:tc>
        <w:tc>
          <w:tcPr>
            <w:tcW w:w="425" w:type="pct"/>
            <w:vAlign w:val="center"/>
          </w:tcPr>
          <w:p w14:paraId="3404594F" w14:textId="77777777" w:rsidR="00EE25C0" w:rsidRPr="00EE25C0" w:rsidRDefault="00EE25C0" w:rsidP="00EE25C0">
            <w:pPr>
              <w:jc w:val="center"/>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w:t>
            </w:r>
          </w:p>
        </w:tc>
        <w:tc>
          <w:tcPr>
            <w:tcW w:w="285" w:type="pct"/>
            <w:vAlign w:val="center"/>
          </w:tcPr>
          <w:p w14:paraId="25E2EC5D"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6,5%</w:t>
            </w:r>
          </w:p>
        </w:tc>
        <w:tc>
          <w:tcPr>
            <w:tcW w:w="313" w:type="pct"/>
            <w:vAlign w:val="center"/>
          </w:tcPr>
          <w:p w14:paraId="0D927C43"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2020</w:t>
            </w:r>
          </w:p>
        </w:tc>
        <w:tc>
          <w:tcPr>
            <w:tcW w:w="382" w:type="pct"/>
            <w:vAlign w:val="center"/>
          </w:tcPr>
          <w:p w14:paraId="47B5CCF6"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24%</w:t>
            </w:r>
          </w:p>
        </w:tc>
        <w:tc>
          <w:tcPr>
            <w:tcW w:w="878" w:type="pct"/>
            <w:vAlign w:val="center"/>
          </w:tcPr>
          <w:p w14:paraId="2484E32B" w14:textId="77777777" w:rsidR="00EE25C0" w:rsidRPr="00EE25C0" w:rsidRDefault="00EE25C0" w:rsidP="00EE25C0">
            <w:pPr>
              <w:contextualSpacing/>
              <w:rPr>
                <w:rFonts w:ascii="Arial" w:eastAsia="Calibri" w:hAnsi="Arial" w:cs="Arial"/>
                <w:color w:val="000000"/>
                <w:sz w:val="18"/>
                <w:szCs w:val="18"/>
                <w:lang w:val="pt-BR"/>
              </w:rPr>
            </w:pPr>
            <w:r w:rsidRPr="00EE25C0">
              <w:rPr>
                <w:rFonts w:ascii="Arial" w:eastAsia="Calibri" w:hAnsi="Arial" w:cs="Arial"/>
                <w:color w:val="000000"/>
                <w:sz w:val="18"/>
                <w:szCs w:val="18"/>
                <w:lang w:val="pt-BR"/>
              </w:rPr>
              <w:t xml:space="preserve">Sistema de </w:t>
            </w:r>
            <w:proofErr w:type="spellStart"/>
            <w:r w:rsidRPr="00EE25C0">
              <w:rPr>
                <w:rFonts w:ascii="Arial" w:eastAsia="Calibri" w:hAnsi="Arial" w:cs="Arial"/>
                <w:color w:val="000000"/>
                <w:sz w:val="18"/>
                <w:szCs w:val="18"/>
                <w:lang w:val="pt-BR"/>
              </w:rPr>
              <w:t>Informaçión</w:t>
            </w:r>
            <w:proofErr w:type="spellEnd"/>
            <w:r w:rsidRPr="00EE25C0">
              <w:rPr>
                <w:rFonts w:ascii="Arial" w:eastAsia="Calibri" w:hAnsi="Arial" w:cs="Arial"/>
                <w:color w:val="000000"/>
                <w:sz w:val="18"/>
                <w:szCs w:val="18"/>
                <w:lang w:val="pt-BR"/>
              </w:rPr>
              <w:t xml:space="preserve"> </w:t>
            </w:r>
            <w:proofErr w:type="spellStart"/>
            <w:r w:rsidRPr="00EE25C0">
              <w:rPr>
                <w:rFonts w:ascii="Arial" w:eastAsia="Calibri" w:hAnsi="Arial" w:cs="Arial"/>
                <w:color w:val="000000"/>
                <w:sz w:val="18"/>
                <w:szCs w:val="18"/>
                <w:lang w:val="pt-BR"/>
              </w:rPr>
              <w:t>Ambulatoria</w:t>
            </w:r>
            <w:proofErr w:type="spellEnd"/>
            <w:r w:rsidRPr="00EE25C0">
              <w:rPr>
                <w:rFonts w:ascii="Arial" w:eastAsia="Calibri" w:hAnsi="Arial" w:cs="Arial"/>
                <w:i/>
                <w:iCs/>
                <w:color w:val="000000"/>
                <w:sz w:val="18"/>
                <w:szCs w:val="18"/>
                <w:lang w:val="pt-BR"/>
              </w:rPr>
              <w:t xml:space="preserve"> </w:t>
            </w:r>
            <w:r w:rsidRPr="00EE25C0">
              <w:rPr>
                <w:rFonts w:ascii="Arial" w:eastAsia="Calibri" w:hAnsi="Arial" w:cs="Arial"/>
                <w:color w:val="000000"/>
                <w:sz w:val="18"/>
                <w:szCs w:val="18"/>
                <w:lang w:val="pt-BR"/>
              </w:rPr>
              <w:t>SUS (SIA) - DATASUS y IBGE</w:t>
            </w:r>
          </w:p>
        </w:tc>
        <w:tc>
          <w:tcPr>
            <w:tcW w:w="1892" w:type="pct"/>
            <w:vAlign w:val="center"/>
          </w:tcPr>
          <w:p w14:paraId="190BAE62"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Según parámetros del Instituto Nacional de Cáncer, la meta es de 50% de la población-objetivo.</w:t>
            </w:r>
          </w:p>
          <w:p w14:paraId="702D9D32" w14:textId="77777777" w:rsidR="00EE25C0" w:rsidRPr="00EE25C0" w:rsidRDefault="00EE25C0" w:rsidP="00EE25C0">
            <w:pPr>
              <w:contextualSpacing/>
              <w:rPr>
                <w:rFonts w:ascii="Arial" w:eastAsia="Calibri" w:hAnsi="Arial" w:cs="Arial"/>
                <w:sz w:val="18"/>
                <w:szCs w:val="18"/>
                <w:lang w:val="es-ES_tradnl"/>
              </w:rPr>
            </w:pPr>
          </w:p>
          <w:p w14:paraId="20F47ED4"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(Número de mamografías en mujeres de 50 a 69 años / Número de mujeres de 50 a 69 años residentes en el ESE) x 100.</w:t>
            </w:r>
          </w:p>
        </w:tc>
      </w:tr>
      <w:tr w:rsidR="00EE25C0" w:rsidRPr="00EE25C0" w14:paraId="46718DDA" w14:textId="77777777" w:rsidTr="00BB1350">
        <w:trPr>
          <w:trHeight w:val="19"/>
        </w:trPr>
        <w:tc>
          <w:tcPr>
            <w:tcW w:w="825" w:type="pct"/>
            <w:vAlign w:val="center"/>
          </w:tcPr>
          <w:p w14:paraId="778CF403" w14:textId="77777777" w:rsidR="00EE25C0" w:rsidRPr="00EE25C0" w:rsidRDefault="00EE25C0" w:rsidP="00EE25C0">
            <w:pPr>
              <w:contextualSpacing/>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Proporción de parto normal em la rede SUS del estado</w:t>
            </w:r>
          </w:p>
        </w:tc>
        <w:tc>
          <w:tcPr>
            <w:tcW w:w="425" w:type="pct"/>
            <w:vAlign w:val="center"/>
          </w:tcPr>
          <w:p w14:paraId="757A0335" w14:textId="77777777" w:rsidR="00EE25C0" w:rsidRPr="00EE25C0" w:rsidRDefault="00EE25C0" w:rsidP="00EE25C0">
            <w:pPr>
              <w:jc w:val="center"/>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w:t>
            </w:r>
          </w:p>
        </w:tc>
        <w:tc>
          <w:tcPr>
            <w:tcW w:w="285" w:type="pct"/>
            <w:vAlign w:val="center"/>
          </w:tcPr>
          <w:p w14:paraId="64DA0CA6"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56,33</w:t>
            </w:r>
          </w:p>
        </w:tc>
        <w:tc>
          <w:tcPr>
            <w:tcW w:w="313" w:type="pct"/>
            <w:vAlign w:val="center"/>
          </w:tcPr>
          <w:p w14:paraId="1C243B03"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2021</w:t>
            </w:r>
          </w:p>
        </w:tc>
        <w:tc>
          <w:tcPr>
            <w:tcW w:w="382" w:type="pct"/>
            <w:vAlign w:val="center"/>
          </w:tcPr>
          <w:p w14:paraId="34F89B7C"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70%</w:t>
            </w:r>
          </w:p>
        </w:tc>
        <w:tc>
          <w:tcPr>
            <w:tcW w:w="878" w:type="pct"/>
            <w:vAlign w:val="center"/>
          </w:tcPr>
          <w:p w14:paraId="4071C322" w14:textId="77777777" w:rsidR="00EE25C0" w:rsidRPr="00EE25C0" w:rsidRDefault="00EE25C0" w:rsidP="00EE25C0">
            <w:pPr>
              <w:contextualSpacing/>
              <w:rPr>
                <w:rFonts w:ascii="Arial" w:eastAsia="Calibri" w:hAnsi="Arial" w:cs="Arial"/>
                <w:color w:val="000000"/>
                <w:sz w:val="18"/>
                <w:szCs w:val="18"/>
                <w:lang w:val="pt-BR"/>
              </w:rPr>
            </w:pPr>
            <w:r w:rsidRPr="00EE25C0">
              <w:rPr>
                <w:rFonts w:ascii="Arial" w:eastAsia="Calibri" w:hAnsi="Arial" w:cs="Arial"/>
                <w:color w:val="000000"/>
                <w:sz w:val="18"/>
                <w:szCs w:val="18"/>
                <w:lang w:val="pt-BR"/>
              </w:rPr>
              <w:t xml:space="preserve">DATASUS - </w:t>
            </w:r>
            <w:r w:rsidRPr="00EE25C0">
              <w:rPr>
                <w:rFonts w:ascii="Arial" w:eastAsia="Calibri" w:hAnsi="Arial" w:cs="Arial"/>
                <w:i/>
                <w:iCs/>
                <w:color w:val="000000"/>
                <w:sz w:val="18"/>
                <w:szCs w:val="18"/>
                <w:lang w:val="pt-BR"/>
              </w:rPr>
              <w:t xml:space="preserve">SINASC – </w:t>
            </w:r>
            <w:r w:rsidRPr="00EE25C0">
              <w:rPr>
                <w:rFonts w:ascii="Arial" w:eastAsia="Calibri" w:hAnsi="Arial" w:cs="Arial"/>
                <w:color w:val="000000"/>
                <w:sz w:val="18"/>
                <w:szCs w:val="18"/>
                <w:lang w:val="pt-BR"/>
              </w:rPr>
              <w:t xml:space="preserve">Sistema de </w:t>
            </w:r>
            <w:proofErr w:type="spellStart"/>
            <w:r w:rsidRPr="00EE25C0">
              <w:rPr>
                <w:rFonts w:ascii="Arial" w:eastAsia="Calibri" w:hAnsi="Arial" w:cs="Arial"/>
                <w:color w:val="000000"/>
                <w:sz w:val="18"/>
                <w:szCs w:val="18"/>
                <w:lang w:val="pt-BR"/>
              </w:rPr>
              <w:t>Información</w:t>
            </w:r>
            <w:proofErr w:type="spellEnd"/>
            <w:r w:rsidRPr="00EE25C0">
              <w:rPr>
                <w:rFonts w:ascii="Arial" w:eastAsia="Calibri" w:hAnsi="Arial" w:cs="Arial"/>
                <w:color w:val="000000"/>
                <w:sz w:val="18"/>
                <w:szCs w:val="18"/>
                <w:lang w:val="pt-BR"/>
              </w:rPr>
              <w:t xml:space="preserve"> sobre </w:t>
            </w:r>
            <w:proofErr w:type="spellStart"/>
            <w:r w:rsidRPr="00EE25C0">
              <w:rPr>
                <w:rFonts w:ascii="Arial" w:eastAsia="Calibri" w:hAnsi="Arial" w:cs="Arial"/>
                <w:color w:val="000000"/>
                <w:sz w:val="18"/>
                <w:szCs w:val="18"/>
                <w:lang w:val="pt-BR"/>
              </w:rPr>
              <w:t>Nacidos</w:t>
            </w:r>
            <w:proofErr w:type="spellEnd"/>
            <w:r w:rsidRPr="00EE25C0">
              <w:rPr>
                <w:rFonts w:ascii="Arial" w:eastAsia="Calibri" w:hAnsi="Arial" w:cs="Arial"/>
                <w:color w:val="000000"/>
                <w:sz w:val="18"/>
                <w:szCs w:val="18"/>
                <w:lang w:val="pt-BR"/>
              </w:rPr>
              <w:t xml:space="preserve"> Vivos</w:t>
            </w:r>
          </w:p>
        </w:tc>
        <w:tc>
          <w:tcPr>
            <w:tcW w:w="1892" w:type="pct"/>
            <w:vAlign w:val="center"/>
          </w:tcPr>
          <w:p w14:paraId="6757B615"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Número nacidos vivos por parto normal de madre residentes X 100) / (Número total de nacidos vivos de madres residentes).</w:t>
            </w:r>
          </w:p>
          <w:p w14:paraId="2AF12F74" w14:textId="77777777" w:rsidR="00EE25C0" w:rsidRPr="00EE25C0" w:rsidRDefault="00EE25C0" w:rsidP="00EE25C0">
            <w:pPr>
              <w:contextualSpacing/>
              <w:rPr>
                <w:rFonts w:ascii="Arial" w:eastAsia="Calibri" w:hAnsi="Arial" w:cs="Arial"/>
                <w:sz w:val="18"/>
                <w:szCs w:val="18"/>
                <w:lang w:val="es-ES_tradnl"/>
              </w:rPr>
            </w:pPr>
          </w:p>
          <w:p w14:paraId="01B6373B" w14:textId="77777777" w:rsidR="00EE25C0" w:rsidRPr="00EE25C0" w:rsidRDefault="00EE25C0" w:rsidP="00EE25C0">
            <w:pPr>
              <w:contextualSpacing/>
              <w:rPr>
                <w:rFonts w:ascii="Arial" w:eastAsia="Calibri" w:hAnsi="Arial" w:cs="Arial"/>
                <w:sz w:val="18"/>
                <w:szCs w:val="18"/>
                <w:lang w:val="pt-BR"/>
              </w:rPr>
            </w:pPr>
            <w:r w:rsidRPr="00EE25C0">
              <w:rPr>
                <w:rFonts w:ascii="Arial" w:eastAsia="Calibri" w:hAnsi="Arial" w:cs="Arial"/>
                <w:sz w:val="18"/>
                <w:szCs w:val="18"/>
                <w:lang w:val="es-ES_tradnl"/>
              </w:rPr>
              <w:t xml:space="preserve">Según las metas acordadas con el Ministerio de Salud, el parámetro nacional es de </w:t>
            </w:r>
            <w:r w:rsidRPr="00EE25C0">
              <w:rPr>
                <w:rFonts w:ascii="Arial" w:eastAsia="Calibri" w:hAnsi="Arial" w:cs="Arial"/>
                <w:sz w:val="18"/>
                <w:szCs w:val="18"/>
                <w:lang w:val="pt-BR"/>
              </w:rPr>
              <w:t xml:space="preserve">70% de partos </w:t>
            </w:r>
            <w:proofErr w:type="spellStart"/>
            <w:r w:rsidRPr="00EE25C0">
              <w:rPr>
                <w:rFonts w:ascii="Arial" w:eastAsia="Calibri" w:hAnsi="Arial" w:cs="Arial"/>
                <w:sz w:val="18"/>
                <w:szCs w:val="18"/>
                <w:lang w:val="pt-BR"/>
              </w:rPr>
              <w:t>normales</w:t>
            </w:r>
            <w:proofErr w:type="spellEnd"/>
            <w:r w:rsidRPr="00EE25C0">
              <w:rPr>
                <w:rFonts w:ascii="Arial" w:eastAsia="Calibri" w:hAnsi="Arial" w:cs="Arial"/>
                <w:sz w:val="18"/>
                <w:szCs w:val="18"/>
                <w:lang w:val="pt-BR"/>
              </w:rPr>
              <w:t xml:space="preserve"> (</w:t>
            </w:r>
            <w:r w:rsidRPr="00EE25C0">
              <w:rPr>
                <w:rFonts w:ascii="Arial" w:eastAsia="Calibri" w:hAnsi="Arial" w:cs="Arial"/>
                <w:i/>
                <w:iCs/>
                <w:sz w:val="18"/>
                <w:szCs w:val="18"/>
                <w:lang w:val="pt-BR"/>
              </w:rPr>
              <w:t xml:space="preserve">Fonte: </w:t>
            </w:r>
            <w:proofErr w:type="spellStart"/>
            <w:r w:rsidRPr="00EE25C0">
              <w:rPr>
                <w:rFonts w:ascii="Arial" w:eastAsia="Calibri" w:hAnsi="Arial" w:cs="Arial"/>
                <w:i/>
                <w:iCs/>
                <w:sz w:val="18"/>
                <w:szCs w:val="18"/>
                <w:lang w:val="pt-BR"/>
              </w:rPr>
              <w:t>Sispacto</w:t>
            </w:r>
            <w:proofErr w:type="spellEnd"/>
            <w:r w:rsidRPr="00EE25C0">
              <w:rPr>
                <w:rFonts w:ascii="Arial" w:eastAsia="Calibri" w:hAnsi="Arial" w:cs="Arial"/>
                <w:i/>
                <w:iCs/>
                <w:sz w:val="18"/>
                <w:szCs w:val="18"/>
                <w:lang w:val="pt-BR"/>
              </w:rPr>
              <w:t>, caderno de diretrizes</w:t>
            </w:r>
            <w:r w:rsidRPr="00EE25C0">
              <w:rPr>
                <w:rFonts w:ascii="Arial" w:eastAsia="Calibri" w:hAnsi="Arial" w:cs="Arial"/>
                <w:sz w:val="18"/>
                <w:szCs w:val="18"/>
                <w:lang w:val="pt-BR"/>
              </w:rPr>
              <w:t xml:space="preserve"> 2017-2021).</w:t>
            </w:r>
          </w:p>
        </w:tc>
      </w:tr>
      <w:tr w:rsidR="00EE25C0" w:rsidRPr="00EE25C0" w14:paraId="79C72A05" w14:textId="77777777" w:rsidTr="00BB1350">
        <w:trPr>
          <w:trHeight w:val="1268"/>
        </w:trPr>
        <w:tc>
          <w:tcPr>
            <w:tcW w:w="825" w:type="pct"/>
            <w:vAlign w:val="center"/>
          </w:tcPr>
          <w:p w14:paraId="0D5BBF9D" w14:textId="77777777" w:rsidR="00EE25C0" w:rsidRPr="00EE25C0" w:rsidRDefault="00EE25C0" w:rsidP="00EE25C0">
            <w:pPr>
              <w:contextualSpacing/>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Tiempo promedio de espera para acceder a tratamiento de oncología desde la confirmación diagnóstica</w:t>
            </w:r>
          </w:p>
        </w:tc>
        <w:tc>
          <w:tcPr>
            <w:tcW w:w="425" w:type="pct"/>
            <w:vAlign w:val="center"/>
          </w:tcPr>
          <w:p w14:paraId="13D2A53B" w14:textId="77777777" w:rsidR="00EE25C0" w:rsidRPr="00EE25C0" w:rsidRDefault="00EE25C0" w:rsidP="00EE25C0">
            <w:pPr>
              <w:jc w:val="center"/>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 días</w:t>
            </w:r>
          </w:p>
        </w:tc>
        <w:tc>
          <w:tcPr>
            <w:tcW w:w="285" w:type="pct"/>
            <w:vAlign w:val="center"/>
          </w:tcPr>
          <w:p w14:paraId="13198EF2"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120</w:t>
            </w:r>
          </w:p>
        </w:tc>
        <w:tc>
          <w:tcPr>
            <w:tcW w:w="313" w:type="pct"/>
            <w:vAlign w:val="center"/>
          </w:tcPr>
          <w:p w14:paraId="568D8A77"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2020</w:t>
            </w:r>
          </w:p>
        </w:tc>
        <w:tc>
          <w:tcPr>
            <w:tcW w:w="382" w:type="pct"/>
            <w:vAlign w:val="center"/>
          </w:tcPr>
          <w:p w14:paraId="0F05EC0C"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60</w:t>
            </w:r>
          </w:p>
        </w:tc>
        <w:tc>
          <w:tcPr>
            <w:tcW w:w="878" w:type="pct"/>
            <w:vAlign w:val="center"/>
          </w:tcPr>
          <w:p w14:paraId="713D42A7"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Central de Regulación (SES/SE)</w:t>
            </w:r>
          </w:p>
        </w:tc>
        <w:tc>
          <w:tcPr>
            <w:tcW w:w="1892" w:type="pct"/>
            <w:vAlign w:val="center"/>
          </w:tcPr>
          <w:p w14:paraId="5632E6A5"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La meta se basa en la Ley Federal N.º 12.732 de 2012, que establece el número máximo de días entre el diagnóstico de la neoplasia maligna y el inicio del tratamiento.</w:t>
            </w:r>
          </w:p>
        </w:tc>
      </w:tr>
      <w:tr w:rsidR="00EE25C0" w:rsidRPr="00EE25C0" w14:paraId="71C0FFC2" w14:textId="77777777" w:rsidTr="00BB1350">
        <w:trPr>
          <w:trHeight w:val="1403"/>
        </w:trPr>
        <w:tc>
          <w:tcPr>
            <w:tcW w:w="825" w:type="pct"/>
            <w:vAlign w:val="center"/>
          </w:tcPr>
          <w:p w14:paraId="68A3F91A" w14:textId="77777777" w:rsidR="00EE25C0" w:rsidRPr="00EE25C0" w:rsidRDefault="00EE25C0" w:rsidP="00EE25C0">
            <w:pPr>
              <w:contextualSpacing/>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lastRenderedPageBreak/>
              <w:t>% de reingresos hospitalarios infantiles</w:t>
            </w:r>
          </w:p>
        </w:tc>
        <w:tc>
          <w:tcPr>
            <w:tcW w:w="425" w:type="pct"/>
            <w:vAlign w:val="center"/>
          </w:tcPr>
          <w:p w14:paraId="75983AE0" w14:textId="77777777" w:rsidR="00EE25C0" w:rsidRPr="00EE25C0" w:rsidRDefault="00EE25C0" w:rsidP="00EE25C0">
            <w:pPr>
              <w:jc w:val="center"/>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w:t>
            </w:r>
          </w:p>
        </w:tc>
        <w:tc>
          <w:tcPr>
            <w:tcW w:w="285" w:type="pct"/>
            <w:vAlign w:val="center"/>
          </w:tcPr>
          <w:p w14:paraId="6C179ACF"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0</w:t>
            </w:r>
          </w:p>
        </w:tc>
        <w:tc>
          <w:tcPr>
            <w:tcW w:w="313" w:type="pct"/>
            <w:vAlign w:val="center"/>
          </w:tcPr>
          <w:p w14:paraId="609AE5B7" w14:textId="77777777" w:rsidR="00EE25C0" w:rsidRPr="00EE25C0" w:rsidRDefault="00EE25C0" w:rsidP="00EE25C0">
            <w:pPr>
              <w:jc w:val="center"/>
              <w:rPr>
                <w:rFonts w:ascii="Arial" w:eastAsia="Calibri" w:hAnsi="Arial" w:cs="Arial"/>
                <w:sz w:val="18"/>
                <w:szCs w:val="18"/>
                <w:lang w:val="es-ES_tradnl"/>
              </w:rPr>
            </w:pPr>
            <w:r w:rsidRPr="00EE25C0">
              <w:rPr>
                <w:rFonts w:ascii="Arial" w:eastAsia="Calibri" w:hAnsi="Arial" w:cs="Arial"/>
                <w:sz w:val="18"/>
                <w:szCs w:val="18"/>
                <w:lang w:val="es-ES_tradnl"/>
              </w:rPr>
              <w:t>2021</w:t>
            </w:r>
          </w:p>
        </w:tc>
        <w:tc>
          <w:tcPr>
            <w:tcW w:w="382" w:type="pct"/>
            <w:vAlign w:val="center"/>
          </w:tcPr>
          <w:p w14:paraId="316B9AB0" w14:textId="77777777" w:rsidR="00EE25C0" w:rsidRPr="00EE25C0" w:rsidRDefault="00EE25C0" w:rsidP="00EE25C0">
            <w:pPr>
              <w:jc w:val="center"/>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20%</w:t>
            </w:r>
          </w:p>
        </w:tc>
        <w:tc>
          <w:tcPr>
            <w:tcW w:w="878" w:type="pct"/>
            <w:vAlign w:val="center"/>
          </w:tcPr>
          <w:p w14:paraId="081A196C" w14:textId="77777777" w:rsidR="00EE25C0" w:rsidRPr="00EE25C0" w:rsidRDefault="00EE25C0" w:rsidP="00EE25C0">
            <w:pPr>
              <w:contextualSpacing/>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Directoria de Atención Especializada y de Urgencia (SES/SE)</w:t>
            </w:r>
          </w:p>
        </w:tc>
        <w:tc>
          <w:tcPr>
            <w:tcW w:w="1892" w:type="pct"/>
            <w:vAlign w:val="center"/>
          </w:tcPr>
          <w:p w14:paraId="6C4E02A6" w14:textId="77777777" w:rsidR="00EE25C0" w:rsidRPr="00EE25C0" w:rsidRDefault="00EE25C0" w:rsidP="00EE25C0">
            <w:pPr>
              <w:contextualSpacing/>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(Número de niños menores de 12 años que reingresar al hospital en 3 meses X 100) / (Número de ingresos hospitalarios de niños menores de 12 años).</w:t>
            </w:r>
          </w:p>
          <w:p w14:paraId="07C87FE9" w14:textId="77777777" w:rsidR="00EE25C0" w:rsidRPr="00EE25C0" w:rsidRDefault="00EE25C0" w:rsidP="00EE25C0">
            <w:pPr>
              <w:contextualSpacing/>
              <w:rPr>
                <w:rFonts w:ascii="Arial" w:eastAsia="Calibri" w:hAnsi="Arial" w:cs="Arial"/>
                <w:color w:val="000000"/>
                <w:sz w:val="18"/>
                <w:szCs w:val="18"/>
                <w:lang w:val="es-ES_tradnl"/>
              </w:rPr>
            </w:pPr>
          </w:p>
          <w:p w14:paraId="31DFCCCF" w14:textId="77777777" w:rsidR="00EE25C0" w:rsidRPr="00EE25C0" w:rsidRDefault="00EE25C0" w:rsidP="00EE25C0">
            <w:pPr>
              <w:contextualSpacing/>
              <w:rPr>
                <w:rFonts w:ascii="Arial" w:eastAsia="Calibri" w:hAnsi="Arial" w:cs="Arial"/>
                <w:color w:val="000000"/>
                <w:sz w:val="18"/>
                <w:szCs w:val="18"/>
                <w:lang w:val="es-ES_tradnl"/>
              </w:rPr>
            </w:pPr>
            <w:r w:rsidRPr="00EE25C0">
              <w:rPr>
                <w:rFonts w:ascii="Arial" w:eastAsia="Calibri" w:hAnsi="Arial" w:cs="Arial"/>
                <w:color w:val="000000"/>
                <w:sz w:val="18"/>
                <w:szCs w:val="18"/>
                <w:lang w:val="es-ES_tradnl"/>
              </w:rPr>
              <w:t>La meta es basada en el Consorcio de Indicadores de Calidad Hospitalaria (Brasil, 2020).</w:t>
            </w:r>
          </w:p>
        </w:tc>
      </w:tr>
      <w:tr w:rsidR="00EE25C0" w:rsidRPr="00EE25C0" w14:paraId="417A18EA" w14:textId="77777777" w:rsidTr="00BB1350">
        <w:trPr>
          <w:trHeight w:val="215"/>
        </w:trPr>
        <w:tc>
          <w:tcPr>
            <w:tcW w:w="5000" w:type="pct"/>
            <w:gridSpan w:val="7"/>
            <w:shd w:val="clear" w:color="auto" w:fill="B8CCE4"/>
            <w:vAlign w:val="center"/>
          </w:tcPr>
          <w:p w14:paraId="14209829" w14:textId="77777777" w:rsidR="00EE25C0" w:rsidRPr="00EE25C0" w:rsidRDefault="00EE25C0" w:rsidP="00EE25C0">
            <w:pPr>
              <w:ind w:right="-5334"/>
              <w:rPr>
                <w:rFonts w:ascii="Arial" w:eastAsia="Calibri" w:hAnsi="Arial" w:cs="Arial"/>
                <w:b/>
                <w:bCs/>
                <w:sz w:val="18"/>
                <w:szCs w:val="18"/>
                <w:lang w:val="es-ES_tradnl"/>
              </w:rPr>
            </w:pPr>
            <w:r w:rsidRPr="00EE25C0">
              <w:rPr>
                <w:rFonts w:ascii="Arial" w:eastAsia="Calibri" w:hAnsi="Arial" w:cs="Arial"/>
                <w:b/>
                <w:bCs/>
                <w:sz w:val="18"/>
                <w:szCs w:val="18"/>
                <w:lang w:val="es-ES_tradnl"/>
              </w:rPr>
              <w:t>Objetivo específico de desarrollo 2: Modernizar los procesos de gestión y asistenciales, a través de una transformación digital.</w:t>
            </w:r>
          </w:p>
        </w:tc>
      </w:tr>
      <w:tr w:rsidR="00EE25C0" w:rsidRPr="00EE25C0" w14:paraId="2B83D181" w14:textId="77777777" w:rsidTr="00BB1350">
        <w:trPr>
          <w:trHeight w:val="1466"/>
        </w:trPr>
        <w:tc>
          <w:tcPr>
            <w:tcW w:w="825" w:type="pct"/>
            <w:vAlign w:val="center"/>
          </w:tcPr>
          <w:p w14:paraId="041A8F72"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Porcentaje de farmacias del ESE con la lista completa de medicamentos</w:t>
            </w:r>
          </w:p>
        </w:tc>
        <w:tc>
          <w:tcPr>
            <w:tcW w:w="425" w:type="pct"/>
            <w:vAlign w:val="center"/>
          </w:tcPr>
          <w:p w14:paraId="09FDB201" w14:textId="77777777" w:rsidR="00EE25C0" w:rsidRPr="00EE25C0" w:rsidRDefault="00EE25C0" w:rsidP="00EE25C0">
            <w:pPr>
              <w:contextualSpacing/>
              <w:jc w:val="center"/>
              <w:rPr>
                <w:rFonts w:ascii="Arial" w:eastAsia="Calibri" w:hAnsi="Arial" w:cs="Arial"/>
                <w:sz w:val="18"/>
                <w:szCs w:val="18"/>
                <w:lang w:val="es-ES_tradnl"/>
              </w:rPr>
            </w:pPr>
            <w:r w:rsidRPr="00EE25C0">
              <w:rPr>
                <w:rFonts w:ascii="Arial" w:eastAsia="Calibri" w:hAnsi="Arial" w:cs="Arial"/>
                <w:sz w:val="18"/>
                <w:szCs w:val="18"/>
                <w:lang w:val="es-ES_tradnl"/>
              </w:rPr>
              <w:t>%</w:t>
            </w:r>
          </w:p>
        </w:tc>
        <w:tc>
          <w:tcPr>
            <w:tcW w:w="285" w:type="pct"/>
            <w:vAlign w:val="center"/>
          </w:tcPr>
          <w:p w14:paraId="64A27C92"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0</w:t>
            </w:r>
          </w:p>
        </w:tc>
        <w:tc>
          <w:tcPr>
            <w:tcW w:w="313" w:type="pct"/>
            <w:vAlign w:val="center"/>
          </w:tcPr>
          <w:p w14:paraId="4891CD52"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2021</w:t>
            </w:r>
          </w:p>
        </w:tc>
        <w:tc>
          <w:tcPr>
            <w:tcW w:w="382" w:type="pct"/>
            <w:vAlign w:val="center"/>
          </w:tcPr>
          <w:p w14:paraId="1C7EAC4A"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80%</w:t>
            </w:r>
          </w:p>
        </w:tc>
        <w:tc>
          <w:tcPr>
            <w:tcW w:w="878" w:type="pct"/>
            <w:vAlign w:val="center"/>
          </w:tcPr>
          <w:p w14:paraId="42A46322" w14:textId="77777777" w:rsidR="00EE25C0" w:rsidRPr="00EE25C0" w:rsidRDefault="00EE25C0" w:rsidP="00EE25C0">
            <w:pPr>
              <w:autoSpaceDE w:val="0"/>
              <w:autoSpaceDN w:val="0"/>
              <w:adjustRightInd w:val="0"/>
              <w:rPr>
                <w:rFonts w:ascii="Arial" w:eastAsia="Calibri" w:hAnsi="Arial" w:cs="Arial"/>
                <w:sz w:val="18"/>
                <w:szCs w:val="18"/>
                <w:lang w:val="es-ES_tradnl"/>
              </w:rPr>
            </w:pPr>
            <w:r w:rsidRPr="00EE25C0">
              <w:rPr>
                <w:rFonts w:ascii="Arial" w:eastAsia="Calibri" w:hAnsi="Arial" w:cs="Arial"/>
                <w:sz w:val="18"/>
                <w:szCs w:val="18"/>
                <w:lang w:val="es-ES_tradnl"/>
              </w:rPr>
              <w:t>Sistema de gestión logística de medicamentos</w:t>
            </w:r>
          </w:p>
        </w:tc>
        <w:tc>
          <w:tcPr>
            <w:tcW w:w="1892" w:type="pct"/>
            <w:vAlign w:val="center"/>
          </w:tcPr>
          <w:p w14:paraId="377BD76F"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(Número de farmacias del ESE con la lista completa de medicamentos) / (total de farmacias) X 100.</w:t>
            </w:r>
          </w:p>
          <w:p w14:paraId="25048D20"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p>
          <w:p w14:paraId="3AA6C943"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Se estima que en 2027 el sistema estará implantado en todas las farmacias de la ESE y se garantizará un mínimo del 80% de los servicios con la lista completa de medicamentos.</w:t>
            </w:r>
          </w:p>
        </w:tc>
      </w:tr>
      <w:tr w:rsidR="00EE25C0" w:rsidRPr="00EE25C0" w14:paraId="6F6FA1FF" w14:textId="77777777" w:rsidTr="00BB1350">
        <w:trPr>
          <w:trHeight w:val="19"/>
        </w:trPr>
        <w:tc>
          <w:tcPr>
            <w:tcW w:w="825" w:type="pct"/>
            <w:vAlign w:val="center"/>
          </w:tcPr>
          <w:p w14:paraId="7B09043F"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Capacidad estimada de formación continuada de la Escuela de Salud Pública</w:t>
            </w:r>
          </w:p>
        </w:tc>
        <w:tc>
          <w:tcPr>
            <w:tcW w:w="425" w:type="pct"/>
            <w:vAlign w:val="center"/>
          </w:tcPr>
          <w:p w14:paraId="23F4E28B" w14:textId="77777777" w:rsidR="00EE25C0" w:rsidRPr="00EE25C0" w:rsidRDefault="00EE25C0" w:rsidP="00EE25C0">
            <w:pPr>
              <w:ind w:left="-72" w:right="-72"/>
              <w:jc w:val="center"/>
              <w:rPr>
                <w:rFonts w:ascii="Arial" w:eastAsia="Calibri" w:hAnsi="Arial" w:cs="Arial"/>
                <w:sz w:val="18"/>
                <w:szCs w:val="18"/>
                <w:lang w:val="es-ES_tradnl"/>
              </w:rPr>
            </w:pPr>
            <w:r w:rsidRPr="00EE25C0">
              <w:rPr>
                <w:rFonts w:ascii="Arial" w:eastAsia="Calibri" w:hAnsi="Arial" w:cs="Arial"/>
                <w:sz w:val="18"/>
                <w:szCs w:val="18"/>
                <w:lang w:val="es-ES_tradnl"/>
              </w:rPr>
              <w:t>Días-profesional/año</w:t>
            </w:r>
          </w:p>
        </w:tc>
        <w:tc>
          <w:tcPr>
            <w:tcW w:w="285" w:type="pct"/>
            <w:vAlign w:val="center"/>
          </w:tcPr>
          <w:p w14:paraId="04A3B981"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30.240</w:t>
            </w:r>
          </w:p>
        </w:tc>
        <w:tc>
          <w:tcPr>
            <w:tcW w:w="313" w:type="pct"/>
            <w:vAlign w:val="center"/>
          </w:tcPr>
          <w:p w14:paraId="18103686"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2022</w:t>
            </w:r>
          </w:p>
        </w:tc>
        <w:tc>
          <w:tcPr>
            <w:tcW w:w="382" w:type="pct"/>
            <w:vAlign w:val="center"/>
          </w:tcPr>
          <w:p w14:paraId="4108700C"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72.000</w:t>
            </w:r>
          </w:p>
        </w:tc>
        <w:tc>
          <w:tcPr>
            <w:tcW w:w="878" w:type="pct"/>
            <w:vAlign w:val="center"/>
          </w:tcPr>
          <w:p w14:paraId="7BBF4D21" w14:textId="77777777" w:rsidR="00EE25C0" w:rsidRPr="00EE25C0" w:rsidRDefault="00EE25C0" w:rsidP="00EE25C0">
            <w:pPr>
              <w:autoSpaceDE w:val="0"/>
              <w:autoSpaceDN w:val="0"/>
              <w:adjustRightInd w:val="0"/>
              <w:rPr>
                <w:rFonts w:ascii="Arial" w:eastAsia="Calibri" w:hAnsi="Arial" w:cs="Arial"/>
                <w:sz w:val="18"/>
                <w:szCs w:val="18"/>
                <w:lang w:val="es-ES_tradnl"/>
              </w:rPr>
            </w:pPr>
            <w:r w:rsidRPr="00EE25C0">
              <w:rPr>
                <w:rFonts w:ascii="Arial" w:eastAsia="Calibri" w:hAnsi="Arial" w:cs="Arial"/>
                <w:sz w:val="18"/>
                <w:szCs w:val="18"/>
                <w:lang w:val="es-ES_tradnl"/>
              </w:rPr>
              <w:t>Fundación Estatal de Salud (FUNESA)</w:t>
            </w:r>
          </w:p>
        </w:tc>
        <w:tc>
          <w:tcPr>
            <w:tcW w:w="1892" w:type="pct"/>
            <w:vAlign w:val="center"/>
          </w:tcPr>
          <w:p w14:paraId="74FEE3D8"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Método de cálculo: capacidad total del edificio X 75% X 252.</w:t>
            </w:r>
          </w:p>
          <w:p w14:paraId="7177D538"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 Se estima que la ocupación promedia anual de la Escuela de Salud Pública es de 60% de su capacidad máxima.</w:t>
            </w:r>
          </w:p>
          <w:p w14:paraId="1D3BBA02"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 Se considera un promedio de 252 días hábiles por año.</w:t>
            </w:r>
          </w:p>
          <w:p w14:paraId="175BB186"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p>
          <w:p w14:paraId="33B63081"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Se estima una necesidad de capacitación de 72.000 días-profesional/año. Dicha necesidad se calculó con base en una necesidad promedia de 5 días de capacitación por profesional por año y un total de 14.400 profesionales de la SES/SE.</w:t>
            </w:r>
          </w:p>
        </w:tc>
      </w:tr>
      <w:tr w:rsidR="00EE25C0" w:rsidRPr="00EE25C0" w14:paraId="4FDA730A" w14:textId="77777777" w:rsidTr="00BB1350">
        <w:trPr>
          <w:trHeight w:val="19"/>
        </w:trPr>
        <w:tc>
          <w:tcPr>
            <w:tcW w:w="825" w:type="pct"/>
            <w:vAlign w:val="center"/>
          </w:tcPr>
          <w:p w14:paraId="28A6AB60"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Porcentaje de unidades de salud con prontuario electrónico implementado</w:t>
            </w:r>
          </w:p>
        </w:tc>
        <w:tc>
          <w:tcPr>
            <w:tcW w:w="425" w:type="pct"/>
            <w:vAlign w:val="center"/>
          </w:tcPr>
          <w:p w14:paraId="1D093F8B" w14:textId="77777777" w:rsidR="00EE25C0" w:rsidRPr="00EE25C0" w:rsidRDefault="00EE25C0" w:rsidP="00EE25C0">
            <w:pPr>
              <w:contextualSpacing/>
              <w:jc w:val="center"/>
              <w:rPr>
                <w:rFonts w:ascii="Arial" w:eastAsia="Calibri" w:hAnsi="Arial" w:cs="Arial"/>
                <w:sz w:val="18"/>
                <w:szCs w:val="18"/>
                <w:lang w:val="es-ES_tradnl"/>
              </w:rPr>
            </w:pPr>
            <w:r w:rsidRPr="00EE25C0">
              <w:rPr>
                <w:rFonts w:ascii="Arial" w:eastAsia="Calibri" w:hAnsi="Arial" w:cs="Arial"/>
                <w:sz w:val="18"/>
                <w:szCs w:val="18"/>
                <w:lang w:val="es-ES_tradnl"/>
              </w:rPr>
              <w:t>%</w:t>
            </w:r>
          </w:p>
        </w:tc>
        <w:tc>
          <w:tcPr>
            <w:tcW w:w="285" w:type="pct"/>
            <w:vAlign w:val="center"/>
          </w:tcPr>
          <w:p w14:paraId="06D77DC8"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0</w:t>
            </w:r>
          </w:p>
        </w:tc>
        <w:tc>
          <w:tcPr>
            <w:tcW w:w="313" w:type="pct"/>
            <w:vAlign w:val="center"/>
          </w:tcPr>
          <w:p w14:paraId="140123AC"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2021</w:t>
            </w:r>
          </w:p>
        </w:tc>
        <w:tc>
          <w:tcPr>
            <w:tcW w:w="382" w:type="pct"/>
            <w:vAlign w:val="center"/>
          </w:tcPr>
          <w:p w14:paraId="0AC231F0"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80%</w:t>
            </w:r>
          </w:p>
        </w:tc>
        <w:tc>
          <w:tcPr>
            <w:tcW w:w="878" w:type="pct"/>
            <w:vAlign w:val="center"/>
          </w:tcPr>
          <w:p w14:paraId="57027D5B" w14:textId="77777777" w:rsidR="00EE25C0" w:rsidRPr="00EE25C0" w:rsidRDefault="00EE25C0" w:rsidP="00EE25C0">
            <w:pPr>
              <w:autoSpaceDE w:val="0"/>
              <w:autoSpaceDN w:val="0"/>
              <w:adjustRightInd w:val="0"/>
              <w:rPr>
                <w:rFonts w:ascii="Arial" w:eastAsia="Calibri" w:hAnsi="Arial" w:cs="Arial"/>
                <w:sz w:val="18"/>
                <w:szCs w:val="18"/>
                <w:lang w:val="es-ES_tradnl"/>
              </w:rPr>
            </w:pPr>
            <w:r w:rsidRPr="00EE25C0">
              <w:rPr>
                <w:rFonts w:ascii="Arial" w:eastAsia="Calibri" w:hAnsi="Arial" w:cs="Arial"/>
                <w:sz w:val="18"/>
                <w:szCs w:val="18"/>
                <w:lang w:val="es-ES_tradnl"/>
              </w:rPr>
              <w:t>Coordinación de Sistemas de Información del SUS (SES/SE)</w:t>
            </w:r>
          </w:p>
        </w:tc>
        <w:tc>
          <w:tcPr>
            <w:tcW w:w="1892" w:type="pct"/>
            <w:vAlign w:val="center"/>
          </w:tcPr>
          <w:p w14:paraId="158FFC9B"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Número de unidades con prontuario electrónico implementado / total de unidades x 100.</w:t>
            </w:r>
          </w:p>
        </w:tc>
      </w:tr>
      <w:tr w:rsidR="00EE25C0" w:rsidRPr="00EE25C0" w14:paraId="3523BEBA" w14:textId="77777777" w:rsidTr="00BB1350">
        <w:trPr>
          <w:trHeight w:val="19"/>
        </w:trPr>
        <w:tc>
          <w:tcPr>
            <w:tcW w:w="825" w:type="pct"/>
            <w:vAlign w:val="center"/>
          </w:tcPr>
          <w:p w14:paraId="0A7C3156"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Tiempo promedio de hospitalización de los hospitales de ESE</w:t>
            </w:r>
          </w:p>
        </w:tc>
        <w:tc>
          <w:tcPr>
            <w:tcW w:w="425" w:type="pct"/>
            <w:vAlign w:val="center"/>
          </w:tcPr>
          <w:p w14:paraId="597D5688" w14:textId="77777777" w:rsidR="00EE25C0" w:rsidRPr="00EE25C0" w:rsidRDefault="00EE25C0" w:rsidP="00EE25C0">
            <w:pPr>
              <w:contextualSpacing/>
              <w:jc w:val="center"/>
              <w:rPr>
                <w:rFonts w:ascii="Arial" w:eastAsia="Calibri" w:hAnsi="Arial" w:cs="Arial"/>
                <w:sz w:val="18"/>
                <w:szCs w:val="18"/>
                <w:lang w:val="es-ES_tradnl"/>
              </w:rPr>
            </w:pPr>
            <w:r w:rsidRPr="00EE25C0">
              <w:rPr>
                <w:rFonts w:ascii="Arial" w:eastAsia="Calibri" w:hAnsi="Arial" w:cs="Arial"/>
                <w:sz w:val="18"/>
                <w:szCs w:val="18"/>
                <w:lang w:val="es-ES_tradnl"/>
              </w:rPr>
              <w:t># días</w:t>
            </w:r>
          </w:p>
        </w:tc>
        <w:tc>
          <w:tcPr>
            <w:tcW w:w="285" w:type="pct"/>
            <w:vAlign w:val="center"/>
          </w:tcPr>
          <w:p w14:paraId="386D7247"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8,35</w:t>
            </w:r>
          </w:p>
        </w:tc>
        <w:tc>
          <w:tcPr>
            <w:tcW w:w="313" w:type="pct"/>
            <w:vAlign w:val="center"/>
          </w:tcPr>
          <w:p w14:paraId="59C5E396"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2021</w:t>
            </w:r>
          </w:p>
        </w:tc>
        <w:tc>
          <w:tcPr>
            <w:tcW w:w="382" w:type="pct"/>
            <w:vAlign w:val="center"/>
          </w:tcPr>
          <w:p w14:paraId="17B8CA83" w14:textId="77777777" w:rsidR="00EE25C0" w:rsidRPr="00EE25C0" w:rsidRDefault="00EE25C0" w:rsidP="00EE25C0">
            <w:pPr>
              <w:autoSpaceDE w:val="0"/>
              <w:autoSpaceDN w:val="0"/>
              <w:adjustRightInd w:val="0"/>
              <w:jc w:val="center"/>
              <w:rPr>
                <w:rFonts w:ascii="Arial" w:eastAsia="Calibri" w:hAnsi="Arial" w:cs="Arial"/>
                <w:smallCaps/>
                <w:sz w:val="18"/>
                <w:szCs w:val="18"/>
                <w:highlight w:val="yellow"/>
                <w:lang w:val="es-ES_tradnl"/>
              </w:rPr>
            </w:pPr>
            <w:r w:rsidRPr="00EE25C0">
              <w:rPr>
                <w:rFonts w:ascii="Arial" w:eastAsia="Calibri" w:hAnsi="Arial" w:cs="Arial"/>
                <w:smallCaps/>
                <w:sz w:val="18"/>
                <w:szCs w:val="18"/>
                <w:lang w:val="es-ES_tradnl"/>
              </w:rPr>
              <w:t>7</w:t>
            </w:r>
          </w:p>
        </w:tc>
        <w:tc>
          <w:tcPr>
            <w:tcW w:w="878" w:type="pct"/>
            <w:shd w:val="clear" w:color="auto" w:fill="auto"/>
            <w:vAlign w:val="center"/>
          </w:tcPr>
          <w:p w14:paraId="273DAEFA" w14:textId="77777777" w:rsidR="00EE25C0" w:rsidRPr="00EE25C0" w:rsidRDefault="00EE25C0" w:rsidP="00EE25C0">
            <w:pPr>
              <w:autoSpaceDE w:val="0"/>
              <w:autoSpaceDN w:val="0"/>
              <w:adjustRightInd w:val="0"/>
              <w:rPr>
                <w:rFonts w:ascii="Arial" w:eastAsia="Calibri" w:hAnsi="Arial" w:cs="Arial"/>
                <w:bCs/>
                <w:iCs/>
                <w:sz w:val="18"/>
                <w:szCs w:val="18"/>
                <w:highlight w:val="yellow"/>
                <w:lang w:val="es-ES_tradnl"/>
              </w:rPr>
            </w:pPr>
            <w:r w:rsidRPr="00EE25C0">
              <w:rPr>
                <w:rFonts w:ascii="Arial" w:eastAsia="Calibri" w:hAnsi="Arial" w:cs="Arial"/>
                <w:bCs/>
                <w:iCs/>
                <w:sz w:val="18"/>
                <w:szCs w:val="18"/>
                <w:lang w:val="es-ES_tradnl"/>
              </w:rPr>
              <w:t>Sistema de Información Hospitalaria (SIH/SUS)</w:t>
            </w:r>
          </w:p>
        </w:tc>
        <w:tc>
          <w:tcPr>
            <w:tcW w:w="1892" w:type="pct"/>
            <w:vAlign w:val="center"/>
          </w:tcPr>
          <w:p w14:paraId="046E66D2"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Número de pacientes-día / número de altas hospitalarias.</w:t>
            </w:r>
          </w:p>
          <w:p w14:paraId="1A6B2A08"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p>
          <w:p w14:paraId="1C384109"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Para este indicador se considera las hospitalizaciones de medicina interna.</w:t>
            </w:r>
          </w:p>
        </w:tc>
      </w:tr>
      <w:tr w:rsidR="00EE25C0" w:rsidRPr="00EE25C0" w14:paraId="3AB404F0" w14:textId="77777777" w:rsidTr="00BB1350">
        <w:trPr>
          <w:trHeight w:val="19"/>
        </w:trPr>
        <w:tc>
          <w:tcPr>
            <w:tcW w:w="825" w:type="pct"/>
            <w:vAlign w:val="center"/>
          </w:tcPr>
          <w:p w14:paraId="3758B1D9" w14:textId="77777777" w:rsidR="00EE25C0" w:rsidRPr="00EE25C0" w:rsidRDefault="00EE25C0" w:rsidP="00EE25C0">
            <w:pPr>
              <w:contextualSpacing/>
              <w:rPr>
                <w:rFonts w:ascii="Arial" w:eastAsia="Calibri" w:hAnsi="Arial" w:cs="Arial"/>
                <w:sz w:val="18"/>
                <w:szCs w:val="18"/>
                <w:lang w:val="es-ES_tradnl"/>
              </w:rPr>
            </w:pPr>
            <w:r w:rsidRPr="00EE25C0">
              <w:rPr>
                <w:rFonts w:ascii="Arial" w:eastAsia="Calibri" w:hAnsi="Arial" w:cs="Arial"/>
                <w:sz w:val="18"/>
                <w:szCs w:val="18"/>
                <w:lang w:val="es-ES_tradnl"/>
              </w:rPr>
              <w:t xml:space="preserve">Número de atenciones por el servicio de orientación telefónica </w:t>
            </w:r>
            <w:r w:rsidRPr="00EE25C0">
              <w:rPr>
                <w:rFonts w:ascii="Arial" w:eastAsia="Calibri" w:hAnsi="Arial" w:cs="Arial"/>
                <w:i/>
                <w:iCs/>
                <w:sz w:val="18"/>
                <w:szCs w:val="18"/>
                <w:lang w:val="es-ES_tradnl"/>
              </w:rPr>
              <w:t>“</w:t>
            </w:r>
            <w:proofErr w:type="spellStart"/>
            <w:r w:rsidRPr="00EE25C0">
              <w:rPr>
                <w:rFonts w:ascii="Arial" w:eastAsia="Calibri" w:hAnsi="Arial" w:cs="Arial"/>
                <w:i/>
                <w:iCs/>
                <w:sz w:val="18"/>
                <w:szCs w:val="18"/>
                <w:lang w:val="es-ES_tradnl"/>
              </w:rPr>
              <w:t>Alô</w:t>
            </w:r>
            <w:proofErr w:type="spellEnd"/>
            <w:r w:rsidRPr="00EE25C0">
              <w:rPr>
                <w:rFonts w:ascii="Arial" w:eastAsia="Calibri" w:hAnsi="Arial" w:cs="Arial"/>
                <w:i/>
                <w:iCs/>
                <w:sz w:val="18"/>
                <w:szCs w:val="18"/>
                <w:lang w:val="es-ES_tradnl"/>
              </w:rPr>
              <w:t xml:space="preserve"> Sergipe”</w:t>
            </w:r>
          </w:p>
        </w:tc>
        <w:tc>
          <w:tcPr>
            <w:tcW w:w="425" w:type="pct"/>
            <w:vAlign w:val="center"/>
          </w:tcPr>
          <w:p w14:paraId="60ABA839" w14:textId="77777777" w:rsidR="00EE25C0" w:rsidRPr="00EE25C0" w:rsidRDefault="00EE25C0" w:rsidP="00EE25C0">
            <w:pPr>
              <w:contextualSpacing/>
              <w:jc w:val="center"/>
              <w:rPr>
                <w:rFonts w:ascii="Arial" w:eastAsia="Calibri" w:hAnsi="Arial" w:cs="Arial"/>
                <w:sz w:val="18"/>
                <w:szCs w:val="18"/>
                <w:lang w:val="es-ES_tradnl"/>
              </w:rPr>
            </w:pPr>
            <w:r w:rsidRPr="00EE25C0">
              <w:rPr>
                <w:rFonts w:ascii="Arial" w:eastAsia="Calibri" w:hAnsi="Arial" w:cs="Arial"/>
                <w:sz w:val="18"/>
                <w:szCs w:val="18"/>
                <w:lang w:val="es-ES_tradnl"/>
              </w:rPr>
              <w:t>Atención / año</w:t>
            </w:r>
          </w:p>
        </w:tc>
        <w:tc>
          <w:tcPr>
            <w:tcW w:w="285" w:type="pct"/>
            <w:vAlign w:val="center"/>
          </w:tcPr>
          <w:p w14:paraId="34617D1B"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0</w:t>
            </w:r>
          </w:p>
        </w:tc>
        <w:tc>
          <w:tcPr>
            <w:tcW w:w="313" w:type="pct"/>
            <w:vAlign w:val="center"/>
          </w:tcPr>
          <w:p w14:paraId="1B094BF4"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2022</w:t>
            </w:r>
          </w:p>
        </w:tc>
        <w:tc>
          <w:tcPr>
            <w:tcW w:w="382" w:type="pct"/>
            <w:vAlign w:val="center"/>
          </w:tcPr>
          <w:p w14:paraId="4EB38CA2" w14:textId="77777777" w:rsidR="00EE25C0" w:rsidRPr="00EE25C0" w:rsidRDefault="00EE25C0" w:rsidP="00EE25C0">
            <w:pPr>
              <w:autoSpaceDE w:val="0"/>
              <w:autoSpaceDN w:val="0"/>
              <w:adjustRightInd w:val="0"/>
              <w:jc w:val="center"/>
              <w:rPr>
                <w:rFonts w:ascii="Arial" w:eastAsia="Calibri" w:hAnsi="Arial" w:cs="Arial"/>
                <w:smallCaps/>
                <w:sz w:val="18"/>
                <w:szCs w:val="18"/>
                <w:lang w:val="es-ES_tradnl"/>
              </w:rPr>
            </w:pPr>
            <w:r w:rsidRPr="00EE25C0">
              <w:rPr>
                <w:rFonts w:ascii="Arial" w:eastAsia="Calibri" w:hAnsi="Arial" w:cs="Arial"/>
                <w:smallCaps/>
                <w:sz w:val="18"/>
                <w:szCs w:val="18"/>
                <w:lang w:val="es-ES_tradnl"/>
              </w:rPr>
              <w:t>95.000</w:t>
            </w:r>
          </w:p>
        </w:tc>
        <w:tc>
          <w:tcPr>
            <w:tcW w:w="878" w:type="pct"/>
            <w:vAlign w:val="center"/>
          </w:tcPr>
          <w:p w14:paraId="5926F725" w14:textId="77777777" w:rsidR="00EE25C0" w:rsidRPr="00EE25C0" w:rsidRDefault="00EE25C0" w:rsidP="00EE25C0">
            <w:pPr>
              <w:autoSpaceDE w:val="0"/>
              <w:autoSpaceDN w:val="0"/>
              <w:adjustRightInd w:val="0"/>
              <w:rPr>
                <w:rFonts w:ascii="Arial" w:eastAsia="Calibri" w:hAnsi="Arial" w:cs="Arial"/>
                <w:bCs/>
                <w:iCs/>
                <w:sz w:val="18"/>
                <w:szCs w:val="18"/>
                <w:lang w:val="es-ES_tradnl"/>
              </w:rPr>
            </w:pPr>
            <w:r w:rsidRPr="00EE25C0">
              <w:rPr>
                <w:rFonts w:ascii="Arial" w:eastAsia="Calibri" w:hAnsi="Arial" w:cs="Arial"/>
                <w:bCs/>
                <w:iCs/>
                <w:sz w:val="18"/>
                <w:szCs w:val="18"/>
                <w:lang w:val="es-ES_tradnl"/>
              </w:rPr>
              <w:t>Sistema de gestión del “</w:t>
            </w:r>
            <w:proofErr w:type="spellStart"/>
            <w:r w:rsidRPr="00EE25C0">
              <w:rPr>
                <w:rFonts w:ascii="Arial" w:eastAsia="Calibri" w:hAnsi="Arial" w:cs="Arial"/>
                <w:bCs/>
                <w:i/>
                <w:sz w:val="18"/>
                <w:szCs w:val="18"/>
                <w:lang w:val="es-ES_tradnl"/>
              </w:rPr>
              <w:t>Alô</w:t>
            </w:r>
            <w:proofErr w:type="spellEnd"/>
            <w:r w:rsidRPr="00EE25C0">
              <w:rPr>
                <w:rFonts w:ascii="Arial" w:eastAsia="Calibri" w:hAnsi="Arial" w:cs="Arial"/>
                <w:bCs/>
                <w:i/>
                <w:sz w:val="18"/>
                <w:szCs w:val="18"/>
                <w:lang w:val="es-ES_tradnl"/>
              </w:rPr>
              <w:t xml:space="preserve"> Sergipe</w:t>
            </w:r>
            <w:r w:rsidRPr="00EE25C0">
              <w:rPr>
                <w:rFonts w:ascii="Arial" w:eastAsia="Calibri" w:hAnsi="Arial" w:cs="Arial"/>
                <w:bCs/>
                <w:iCs/>
                <w:sz w:val="18"/>
                <w:szCs w:val="18"/>
                <w:lang w:val="es-ES_tradnl"/>
              </w:rPr>
              <w:t>”</w:t>
            </w:r>
          </w:p>
        </w:tc>
        <w:tc>
          <w:tcPr>
            <w:tcW w:w="1892" w:type="pct"/>
            <w:vAlign w:val="center"/>
          </w:tcPr>
          <w:p w14:paraId="46E42D8B" w14:textId="77777777" w:rsidR="00EE25C0" w:rsidRPr="00EE25C0" w:rsidRDefault="00EE25C0" w:rsidP="00EE25C0">
            <w:pPr>
              <w:autoSpaceDE w:val="0"/>
              <w:autoSpaceDN w:val="0"/>
              <w:adjustRightInd w:val="0"/>
              <w:ind w:left="-72" w:right="-72"/>
              <w:rPr>
                <w:rFonts w:ascii="Arial" w:eastAsia="Calibri" w:hAnsi="Arial" w:cs="Arial"/>
                <w:sz w:val="18"/>
                <w:szCs w:val="18"/>
                <w:lang w:val="es-ES_tradnl"/>
              </w:rPr>
            </w:pPr>
            <w:r w:rsidRPr="00EE25C0">
              <w:rPr>
                <w:rFonts w:ascii="Arial" w:eastAsia="Calibri" w:hAnsi="Arial" w:cs="Arial"/>
                <w:sz w:val="18"/>
                <w:szCs w:val="18"/>
                <w:lang w:val="es-ES_tradnl"/>
              </w:rPr>
              <w:t xml:space="preserve">Ver descripción del servicio </w:t>
            </w:r>
            <w:r w:rsidRPr="00EE25C0">
              <w:rPr>
                <w:rFonts w:ascii="Arial" w:eastAsia="Calibri" w:hAnsi="Arial" w:cs="Arial"/>
                <w:i/>
                <w:iCs/>
                <w:sz w:val="18"/>
                <w:szCs w:val="18"/>
                <w:lang w:val="es-ES_tradnl"/>
              </w:rPr>
              <w:t>“</w:t>
            </w:r>
            <w:proofErr w:type="spellStart"/>
            <w:r w:rsidRPr="00EE25C0">
              <w:rPr>
                <w:rFonts w:ascii="Arial" w:eastAsia="Calibri" w:hAnsi="Arial" w:cs="Arial"/>
                <w:i/>
                <w:iCs/>
                <w:sz w:val="18"/>
                <w:szCs w:val="18"/>
                <w:lang w:val="es-ES_tradnl"/>
              </w:rPr>
              <w:t>Alô</w:t>
            </w:r>
            <w:proofErr w:type="spellEnd"/>
            <w:r w:rsidRPr="00EE25C0">
              <w:rPr>
                <w:rFonts w:ascii="Arial" w:eastAsia="Calibri" w:hAnsi="Arial" w:cs="Arial"/>
                <w:i/>
                <w:iCs/>
                <w:sz w:val="18"/>
                <w:szCs w:val="18"/>
                <w:lang w:val="es-ES_tradnl"/>
              </w:rPr>
              <w:t xml:space="preserve"> Sergipe”</w:t>
            </w:r>
            <w:r w:rsidRPr="00EE25C0">
              <w:rPr>
                <w:rFonts w:ascii="Arial" w:eastAsia="Calibri" w:hAnsi="Arial" w:cs="Arial"/>
                <w:sz w:val="18"/>
                <w:szCs w:val="18"/>
                <w:lang w:val="es-ES_tradnl"/>
              </w:rPr>
              <w:t xml:space="preserve"> en el producto 24.</w:t>
            </w:r>
          </w:p>
        </w:tc>
      </w:tr>
    </w:tbl>
    <w:p w14:paraId="57793A37" w14:textId="77777777" w:rsidR="00BB1350" w:rsidRDefault="00CA65A1" w:rsidP="00C7625E">
      <w:pPr>
        <w:sectPr w:rsidR="00BB1350" w:rsidSect="00BB1350">
          <w:pgSz w:w="15840" w:h="12240" w:orient="landscape"/>
          <w:pgMar w:top="1440" w:right="1440" w:bottom="1440" w:left="1440" w:header="720" w:footer="720" w:gutter="0"/>
          <w:cols w:space="720"/>
          <w:titlePg/>
          <w:docGrid w:linePitch="360"/>
        </w:sectPr>
      </w:pPr>
      <w:bookmarkStart w:id="45" w:name="_Toc513465015"/>
      <w:r w:rsidRPr="001D6393">
        <w:br w:type="page"/>
      </w:r>
    </w:p>
    <w:p w14:paraId="4F5E1A93" w14:textId="04CD6A5D" w:rsidR="0023039F" w:rsidRPr="00CC78EA" w:rsidRDefault="002F18E8" w:rsidP="00BB1350">
      <w:pPr>
        <w:jc w:val="center"/>
        <w:rPr>
          <w:rFonts w:ascii="Arial" w:hAnsi="Arial" w:cs="Arial"/>
          <w:b/>
          <w:bCs/>
          <w:lang w:val="en-US"/>
        </w:rPr>
      </w:pPr>
      <w:proofErr w:type="spellStart"/>
      <w:r w:rsidRPr="00CC78EA">
        <w:rPr>
          <w:rFonts w:ascii="Arial" w:hAnsi="Arial" w:cs="Arial"/>
          <w:b/>
          <w:bCs/>
          <w:sz w:val="22"/>
          <w:szCs w:val="22"/>
          <w:lang w:val="en-US"/>
        </w:rPr>
        <w:lastRenderedPageBreak/>
        <w:t>Referencias</w:t>
      </w:r>
      <w:bookmarkEnd w:id="42"/>
      <w:bookmarkEnd w:id="45"/>
      <w:proofErr w:type="spellEnd"/>
    </w:p>
    <w:p w14:paraId="1B92D27B" w14:textId="77777777" w:rsidR="00C01A02" w:rsidRDefault="00C01A02" w:rsidP="00010F07">
      <w:pPr>
        <w:pStyle w:val="NormalWeb"/>
        <w:ind w:left="480" w:hanging="480"/>
        <w:divId w:val="1804535920"/>
        <w:rPr>
          <w:rFonts w:ascii="Arial" w:hAnsi="Arial" w:cs="Arial"/>
          <w:sz w:val="20"/>
          <w:szCs w:val="20"/>
          <w:lang w:val="en-US"/>
        </w:rPr>
      </w:pPr>
      <w:proofErr w:type="spellStart"/>
      <w:r w:rsidRPr="00C01A02">
        <w:rPr>
          <w:rFonts w:ascii="Arial" w:hAnsi="Arial" w:cs="Arial"/>
          <w:sz w:val="20"/>
          <w:szCs w:val="20"/>
          <w:lang w:val="en-US"/>
        </w:rPr>
        <w:t>Akhlaq</w:t>
      </w:r>
      <w:proofErr w:type="spellEnd"/>
      <w:r w:rsidRPr="00C01A02">
        <w:rPr>
          <w:rFonts w:ascii="Arial" w:hAnsi="Arial" w:cs="Arial"/>
          <w:sz w:val="20"/>
          <w:szCs w:val="20"/>
          <w:lang w:val="en-US"/>
        </w:rPr>
        <w:t xml:space="preserve">, A. Sheikh, C. </w:t>
      </w:r>
      <w:proofErr w:type="spellStart"/>
      <w:r w:rsidRPr="00C01A02">
        <w:rPr>
          <w:rFonts w:ascii="Arial" w:hAnsi="Arial" w:cs="Arial"/>
          <w:sz w:val="20"/>
          <w:szCs w:val="20"/>
          <w:lang w:val="en-US"/>
        </w:rPr>
        <w:t>Pagliari</w:t>
      </w:r>
      <w:proofErr w:type="spellEnd"/>
      <w:r w:rsidRPr="00C01A02">
        <w:rPr>
          <w:rFonts w:ascii="Arial" w:hAnsi="Arial" w:cs="Arial"/>
          <w:sz w:val="20"/>
          <w:szCs w:val="20"/>
          <w:lang w:val="en-US"/>
        </w:rPr>
        <w:t xml:space="preserve">, (2015) “Barriers and facilitators to health information exchange in low- and middle-income country settings: a systematic review protocol”, J </w:t>
      </w:r>
      <w:proofErr w:type="spellStart"/>
      <w:r w:rsidRPr="00C01A02">
        <w:rPr>
          <w:rFonts w:ascii="Arial" w:hAnsi="Arial" w:cs="Arial"/>
          <w:sz w:val="20"/>
          <w:szCs w:val="20"/>
          <w:lang w:val="en-US"/>
        </w:rPr>
        <w:t>Innov</w:t>
      </w:r>
      <w:proofErr w:type="spellEnd"/>
      <w:r w:rsidRPr="00C01A02">
        <w:rPr>
          <w:rFonts w:ascii="Arial" w:hAnsi="Arial" w:cs="Arial"/>
          <w:sz w:val="20"/>
          <w:szCs w:val="20"/>
          <w:lang w:val="en-US"/>
        </w:rPr>
        <w:t xml:space="preserve"> Health Inform.</w:t>
      </w:r>
    </w:p>
    <w:p w14:paraId="4514504B" w14:textId="226BC5DF" w:rsidR="0090390B" w:rsidRDefault="0090390B" w:rsidP="00010F07">
      <w:pPr>
        <w:pStyle w:val="NormalWeb"/>
        <w:ind w:left="480" w:hanging="480"/>
        <w:divId w:val="1804535920"/>
        <w:rPr>
          <w:rFonts w:ascii="Arial" w:hAnsi="Arial" w:cs="Arial"/>
          <w:sz w:val="20"/>
          <w:szCs w:val="20"/>
        </w:rPr>
      </w:pPr>
      <w:r w:rsidRPr="004C78A0">
        <w:rPr>
          <w:rFonts w:ascii="Arial" w:hAnsi="Arial" w:cs="Arial"/>
          <w:sz w:val="20"/>
          <w:szCs w:val="20"/>
          <w:lang w:val="en-US"/>
        </w:rPr>
        <w:t xml:space="preserve">Ali, A., </w:t>
      </w:r>
      <w:proofErr w:type="spellStart"/>
      <w:r w:rsidRPr="004C78A0">
        <w:rPr>
          <w:rFonts w:ascii="Arial" w:hAnsi="Arial" w:cs="Arial"/>
          <w:sz w:val="20"/>
          <w:szCs w:val="20"/>
          <w:lang w:val="en-US"/>
        </w:rPr>
        <w:t>Şenturk</w:t>
      </w:r>
      <w:proofErr w:type="spellEnd"/>
      <w:r w:rsidRPr="004C78A0">
        <w:rPr>
          <w:rFonts w:ascii="Arial" w:hAnsi="Arial" w:cs="Arial"/>
          <w:sz w:val="20"/>
          <w:szCs w:val="20"/>
          <w:lang w:val="en-US"/>
        </w:rPr>
        <w:t xml:space="preserve">, İ. (2019): Justifying the Impact of Economic Deprivation, Maternal Status and Health infrastructure on Under-Five Child Mortality in Pakistan: An Empirical Analysis. </w:t>
      </w:r>
      <w:r w:rsidRPr="0090390B">
        <w:rPr>
          <w:rFonts w:ascii="Arial" w:hAnsi="Arial" w:cs="Arial"/>
          <w:sz w:val="20"/>
          <w:szCs w:val="20"/>
        </w:rPr>
        <w:t xml:space="preserve">MPRA </w:t>
      </w:r>
      <w:proofErr w:type="spellStart"/>
      <w:r w:rsidRPr="0090390B">
        <w:rPr>
          <w:rFonts w:ascii="Arial" w:hAnsi="Arial" w:cs="Arial"/>
          <w:sz w:val="20"/>
          <w:szCs w:val="20"/>
        </w:rPr>
        <w:t>Paper</w:t>
      </w:r>
      <w:proofErr w:type="spellEnd"/>
      <w:r w:rsidRPr="0090390B">
        <w:rPr>
          <w:rFonts w:ascii="Arial" w:hAnsi="Arial" w:cs="Arial"/>
          <w:sz w:val="20"/>
          <w:szCs w:val="20"/>
        </w:rPr>
        <w:t xml:space="preserve"> No. 96055. https://mpra.ub.uni-muenchen.de/96055/</w:t>
      </w:r>
    </w:p>
    <w:p w14:paraId="44BCEA7A" w14:textId="4B9242AA" w:rsidR="00010F07" w:rsidRPr="005341D6" w:rsidRDefault="00010F07" w:rsidP="00010F07">
      <w:pPr>
        <w:pStyle w:val="NormalWeb"/>
        <w:ind w:left="480" w:hanging="480"/>
        <w:divId w:val="1804535920"/>
        <w:rPr>
          <w:rFonts w:ascii="Arial" w:hAnsi="Arial" w:cs="Arial"/>
          <w:sz w:val="20"/>
          <w:szCs w:val="20"/>
          <w:lang w:val="en-US"/>
        </w:rPr>
      </w:pPr>
      <w:r w:rsidRPr="1F2A10AC">
        <w:rPr>
          <w:rFonts w:ascii="Arial" w:hAnsi="Arial" w:cs="Arial"/>
          <w:sz w:val="20"/>
          <w:szCs w:val="20"/>
        </w:rPr>
        <w:fldChar w:fldCharType="begin" w:fldLock="1"/>
      </w:r>
      <w:r w:rsidRPr="00210A53">
        <w:rPr>
          <w:rFonts w:ascii="Arial" w:hAnsi="Arial" w:cs="Arial"/>
          <w:sz w:val="20"/>
          <w:szCs w:val="20"/>
        </w:rPr>
        <w:instrText xml:space="preserve">ADDIN Mendeley Bibliography CSL_BIBLIOGRAPHY </w:instrText>
      </w:r>
      <w:r w:rsidRPr="1F2A10AC">
        <w:rPr>
          <w:rFonts w:ascii="Arial" w:hAnsi="Arial" w:cs="Arial"/>
          <w:sz w:val="20"/>
          <w:szCs w:val="20"/>
        </w:rPr>
        <w:fldChar w:fldCharType="separate"/>
      </w:r>
      <w:r w:rsidRPr="00210A53">
        <w:rPr>
          <w:rFonts w:ascii="Arial" w:hAnsi="Arial" w:cs="Arial"/>
          <w:sz w:val="20"/>
          <w:szCs w:val="20"/>
        </w:rPr>
        <w:t xml:space="preserve">Alvis, Nelson, y María Teresa Valenzuela. 2010. “Los QALYs Y DALYs Como Indicadores Sintéticos de Salud.” </w:t>
      </w:r>
      <w:r w:rsidRPr="005341D6">
        <w:rPr>
          <w:rFonts w:ascii="Arial" w:hAnsi="Arial" w:cs="Arial"/>
          <w:i/>
          <w:iCs/>
          <w:sz w:val="20"/>
          <w:szCs w:val="20"/>
        </w:rPr>
        <w:t>Revista Médica de Chile</w:t>
      </w:r>
      <w:r w:rsidRPr="005341D6">
        <w:rPr>
          <w:rFonts w:ascii="Arial" w:hAnsi="Arial" w:cs="Arial"/>
          <w:sz w:val="20"/>
          <w:szCs w:val="20"/>
        </w:rPr>
        <w:t xml:space="preserve"> 138 (September). </w:t>
      </w:r>
      <w:r w:rsidRPr="005341D6">
        <w:rPr>
          <w:rFonts w:ascii="Arial" w:hAnsi="Arial" w:cs="Arial"/>
          <w:sz w:val="20"/>
          <w:szCs w:val="20"/>
          <w:lang w:val="en-US"/>
        </w:rPr>
        <w:t>Sociedad Médica de Santiago: 83–87. doi:10.4067/S0034-98872010001000005.</w:t>
      </w:r>
    </w:p>
    <w:p w14:paraId="65003EE3" w14:textId="77777777" w:rsidR="00C01A02" w:rsidRDefault="00C01A02" w:rsidP="00010F07">
      <w:pPr>
        <w:pStyle w:val="NormalWeb"/>
        <w:ind w:left="480" w:hanging="480"/>
        <w:divId w:val="1804535920"/>
        <w:rPr>
          <w:rFonts w:ascii="Arial" w:eastAsiaTheme="minorEastAsia" w:hAnsi="Arial" w:cs="Arial"/>
          <w:sz w:val="20"/>
          <w:szCs w:val="20"/>
          <w:lang w:val="en-US"/>
        </w:rPr>
      </w:pPr>
      <w:r w:rsidRPr="00C01A02">
        <w:rPr>
          <w:rFonts w:ascii="Arial" w:eastAsiaTheme="minorEastAsia" w:hAnsi="Arial" w:cs="Arial"/>
          <w:sz w:val="20"/>
          <w:szCs w:val="20"/>
          <w:lang w:val="en-US"/>
        </w:rPr>
        <w:t>Bailey, R.A. Pope, E.C. Elliott, J.Y. Wan, T.M. Waters, M.E. Frisse, (2013) “Health information exchange reduces repeated diagnostic imaging for back pain”, Ann Emerg Med.</w:t>
      </w:r>
    </w:p>
    <w:p w14:paraId="63F557C1" w14:textId="0910CFCA" w:rsidR="00E169C8" w:rsidRPr="005341D6" w:rsidRDefault="00E169C8" w:rsidP="00010F07">
      <w:pPr>
        <w:pStyle w:val="NormalWeb"/>
        <w:ind w:left="480" w:hanging="480"/>
        <w:divId w:val="1804535920"/>
        <w:rPr>
          <w:rFonts w:ascii="Arial" w:eastAsiaTheme="minorEastAsia" w:hAnsi="Arial" w:cs="Arial"/>
          <w:sz w:val="20"/>
          <w:szCs w:val="20"/>
          <w:lang w:val="en-US"/>
        </w:rPr>
      </w:pPr>
      <w:r w:rsidRPr="005341D6">
        <w:rPr>
          <w:rFonts w:ascii="Arial" w:eastAsiaTheme="minorEastAsia" w:hAnsi="Arial" w:cs="Arial"/>
          <w:sz w:val="20"/>
          <w:szCs w:val="20"/>
          <w:lang w:val="en-US"/>
        </w:rPr>
        <w:t>Benjamin GC. (2020). Ensuring health equity during the COVID-19 pandemic: the role of public health infrastructure. Pan American journal of Public Health. 44:e70. https://doi.org/10.26633/RPSP.2020.70</w:t>
      </w:r>
    </w:p>
    <w:p w14:paraId="1E7C2F53" w14:textId="77777777" w:rsidR="00010F07" w:rsidRPr="00210A53" w:rsidRDefault="00010F07" w:rsidP="00010F07">
      <w:pPr>
        <w:pStyle w:val="NormalWeb"/>
        <w:ind w:left="480" w:hanging="480"/>
        <w:divId w:val="1804535920"/>
        <w:rPr>
          <w:rFonts w:ascii="Arial" w:hAnsi="Arial" w:cs="Arial"/>
          <w:sz w:val="20"/>
          <w:szCs w:val="20"/>
        </w:rPr>
      </w:pPr>
      <w:r w:rsidRPr="00BA7744">
        <w:rPr>
          <w:rFonts w:ascii="Arial" w:hAnsi="Arial" w:cs="Arial"/>
          <w:sz w:val="20"/>
          <w:szCs w:val="20"/>
          <w:lang w:val="en-US"/>
        </w:rPr>
        <w:t xml:space="preserve">Berkley, Seth, Christopher J. L. Murray, Robert Hecht, Helen Saxenian, Philip Musgrove, Jee-Peng Tan, Jose-Luis Bobadilla, Kenneth Hill, y Dean T. Jamison. </w:t>
      </w:r>
      <w:r w:rsidRPr="00210A53">
        <w:rPr>
          <w:rFonts w:ascii="Arial" w:hAnsi="Arial" w:cs="Arial"/>
          <w:sz w:val="20"/>
          <w:szCs w:val="20"/>
        </w:rPr>
        <w:t>1993. “Informe sobre el desarrollo mundial 1993 : investir en salud,” July, 1–351. http://documentos.bancomundial.org/curated/es/1993/07/12711504/world-development-report-1993-investing-health-informe-sobre-el-desarrollo-mundial-1993-investir-en-salud.</w:t>
      </w:r>
    </w:p>
    <w:p w14:paraId="1D30574D" w14:textId="77777777" w:rsidR="00010F07" w:rsidRPr="00893921" w:rsidRDefault="00010F07" w:rsidP="00010F07">
      <w:pPr>
        <w:pStyle w:val="NormalWeb"/>
        <w:ind w:left="480" w:hanging="480"/>
        <w:divId w:val="1804535920"/>
        <w:rPr>
          <w:rFonts w:ascii="Arial" w:hAnsi="Arial" w:cs="Arial"/>
          <w:sz w:val="20"/>
          <w:szCs w:val="20"/>
          <w:lang w:val="en-US"/>
        </w:rPr>
      </w:pPr>
      <w:r w:rsidRPr="00210A53">
        <w:rPr>
          <w:rFonts w:ascii="Arial" w:hAnsi="Arial" w:cs="Arial"/>
          <w:sz w:val="20"/>
          <w:szCs w:val="20"/>
        </w:rPr>
        <w:t xml:space="preserve">Bobadilla, J L, P Cowley, P Musgrove, y H Saxenian. </w:t>
      </w:r>
      <w:r w:rsidRPr="00893921">
        <w:rPr>
          <w:rFonts w:ascii="Arial" w:hAnsi="Arial" w:cs="Arial"/>
          <w:sz w:val="20"/>
          <w:szCs w:val="20"/>
          <w:lang w:val="en-US"/>
        </w:rPr>
        <w:t xml:space="preserve">1994. “Design, Content y Financing of an Essential National Package of Health Services.” </w:t>
      </w:r>
      <w:r w:rsidRPr="00893921">
        <w:rPr>
          <w:rFonts w:ascii="Arial" w:hAnsi="Arial" w:cs="Arial"/>
          <w:i/>
          <w:iCs/>
          <w:sz w:val="20"/>
          <w:szCs w:val="20"/>
          <w:lang w:val="en-US"/>
        </w:rPr>
        <w:t>Bulletin of the World Health Organization</w:t>
      </w:r>
      <w:r w:rsidRPr="00893921">
        <w:rPr>
          <w:rFonts w:ascii="Arial" w:hAnsi="Arial" w:cs="Arial"/>
          <w:sz w:val="20"/>
          <w:szCs w:val="20"/>
          <w:lang w:val="en-US"/>
        </w:rPr>
        <w:t xml:space="preserve"> 72 (4): 653–62. http://www.pubmedcentral.nih.gov/articlerender.fcgi?artid=2486601&amp;tool=pmcentrez&amp;rendertype=abstract.</w:t>
      </w:r>
    </w:p>
    <w:p w14:paraId="6291D7C6" w14:textId="717EE598" w:rsidR="00010F07" w:rsidRDefault="00010F07" w:rsidP="00010F07">
      <w:pPr>
        <w:pStyle w:val="NormalWeb"/>
        <w:ind w:left="480" w:hanging="480"/>
        <w:divId w:val="1804535920"/>
        <w:rPr>
          <w:rFonts w:ascii="Arial" w:hAnsi="Arial" w:cs="Arial"/>
          <w:sz w:val="20"/>
          <w:szCs w:val="20"/>
          <w:lang w:val="en-US"/>
        </w:rPr>
      </w:pPr>
      <w:r w:rsidRPr="003D5677">
        <w:rPr>
          <w:rFonts w:ascii="Arial" w:hAnsi="Arial" w:cs="Arial"/>
          <w:sz w:val="20"/>
          <w:szCs w:val="20"/>
          <w:lang w:val="fr-FR"/>
        </w:rPr>
        <w:t xml:space="preserve">Cecchini, M, F Sassi, y JA Lauer. </w:t>
      </w:r>
      <w:r w:rsidRPr="00893921">
        <w:rPr>
          <w:rFonts w:ascii="Arial" w:hAnsi="Arial" w:cs="Arial"/>
          <w:sz w:val="20"/>
          <w:szCs w:val="20"/>
          <w:lang w:val="en-US"/>
        </w:rPr>
        <w:t xml:space="preserve">2010. “Tackling of Unhealthy Diets, Physical Inactivity, y Obesity: Health Effects y Cost-Effectiveness.” </w:t>
      </w:r>
      <w:r w:rsidRPr="00893921">
        <w:rPr>
          <w:rFonts w:ascii="Arial" w:hAnsi="Arial" w:cs="Arial"/>
          <w:i/>
          <w:iCs/>
          <w:sz w:val="20"/>
          <w:szCs w:val="20"/>
          <w:lang w:val="en-US"/>
        </w:rPr>
        <w:t>The Lancet</w:t>
      </w:r>
      <w:r w:rsidRPr="00893921">
        <w:rPr>
          <w:rFonts w:ascii="Arial" w:hAnsi="Arial" w:cs="Arial"/>
          <w:sz w:val="20"/>
          <w:szCs w:val="20"/>
          <w:lang w:val="en-US"/>
        </w:rPr>
        <w:t>. http://www.sciencedirect.com/science/article/pii/S0140673610615140.</w:t>
      </w:r>
    </w:p>
    <w:p w14:paraId="2C3AEC95" w14:textId="19C98E5F" w:rsidR="0090390B" w:rsidRPr="00893921" w:rsidRDefault="0090390B" w:rsidP="00010F07">
      <w:pPr>
        <w:pStyle w:val="NormalWeb"/>
        <w:ind w:left="480" w:hanging="480"/>
        <w:divId w:val="1804535920"/>
        <w:rPr>
          <w:rFonts w:ascii="Arial" w:hAnsi="Arial" w:cs="Arial"/>
          <w:sz w:val="20"/>
          <w:szCs w:val="20"/>
          <w:lang w:val="en-US"/>
        </w:rPr>
      </w:pPr>
      <w:r w:rsidRPr="0090390B">
        <w:rPr>
          <w:rFonts w:ascii="Arial" w:hAnsi="Arial" w:cs="Arial"/>
          <w:sz w:val="20"/>
          <w:szCs w:val="20"/>
          <w:lang w:val="en-US"/>
        </w:rPr>
        <w:t>Chaudhry, B., Wang, J., Wu, S., Maglione, M., Mojica, W., Roth, E., Morton, S., Shekelle, P. (2006). Systematic Review: Impact of Health Information Technology on Quality, Efficiency, and Costs of Medical Care. Annals of Internal Medicine, 144(10), 742-752.</w:t>
      </w:r>
    </w:p>
    <w:p w14:paraId="100FA69E" w14:textId="77777777" w:rsidR="00010F07" w:rsidRPr="00893921" w:rsidRDefault="00010F07" w:rsidP="00010F07">
      <w:pPr>
        <w:pStyle w:val="NormalWeb"/>
        <w:ind w:left="480" w:hanging="480"/>
        <w:divId w:val="1804535920"/>
        <w:rPr>
          <w:rFonts w:ascii="Arial" w:hAnsi="Arial" w:cs="Arial"/>
          <w:sz w:val="20"/>
          <w:szCs w:val="20"/>
          <w:lang w:val="en-US"/>
        </w:rPr>
      </w:pPr>
      <w:r w:rsidRPr="004C78A0">
        <w:rPr>
          <w:rFonts w:ascii="Arial" w:hAnsi="Arial" w:cs="Arial"/>
          <w:sz w:val="20"/>
          <w:szCs w:val="20"/>
          <w:lang w:val="en-US"/>
        </w:rPr>
        <w:t xml:space="preserve">De Castillo, CP, y R Lema. 1998. </w:t>
      </w:r>
      <w:r w:rsidRPr="00893921">
        <w:rPr>
          <w:rFonts w:ascii="Arial" w:hAnsi="Arial" w:cs="Arial"/>
          <w:sz w:val="20"/>
          <w:szCs w:val="20"/>
          <w:lang w:val="en-US"/>
        </w:rPr>
        <w:t>“Economic Analysis of Social Investment Fund Projects: Case Studies y Minimum Requirements Proposal.” http://siteresources.worldbank.org/INTCDD/Resources/EACAS.pdf.</w:t>
      </w:r>
    </w:p>
    <w:p w14:paraId="6A73C41A" w14:textId="77777777" w:rsidR="00C01A02" w:rsidRPr="00C01A02" w:rsidRDefault="00C01A02" w:rsidP="00010F07">
      <w:pPr>
        <w:pStyle w:val="NormalWeb"/>
        <w:ind w:left="480" w:hanging="480"/>
        <w:divId w:val="1804535920"/>
        <w:rPr>
          <w:rFonts w:ascii="Arial" w:hAnsi="Arial" w:cs="Arial"/>
          <w:sz w:val="20"/>
          <w:szCs w:val="20"/>
          <w:lang w:val="en-US"/>
        </w:rPr>
      </w:pPr>
      <w:r w:rsidRPr="00C01A02">
        <w:rPr>
          <w:rFonts w:ascii="Arial" w:hAnsi="Arial" w:cs="Arial"/>
          <w:sz w:val="20"/>
          <w:szCs w:val="20"/>
          <w:lang w:val="en-US"/>
        </w:rPr>
        <w:t xml:space="preserve">Finn, (2011) “Health information exchange: A stepping stone toward continuity of care and participatory medicine,” J Particip Med, 3. </w:t>
      </w:r>
    </w:p>
    <w:p w14:paraId="4377AD27" w14:textId="2A35BBD6" w:rsidR="00010F07" w:rsidRDefault="00010F07" w:rsidP="00010F07">
      <w:pPr>
        <w:pStyle w:val="NormalWeb"/>
        <w:ind w:left="480" w:hanging="480"/>
        <w:divId w:val="1804535920"/>
        <w:rPr>
          <w:rFonts w:ascii="Arial" w:hAnsi="Arial" w:cs="Arial"/>
          <w:sz w:val="20"/>
          <w:szCs w:val="20"/>
          <w:lang w:val="en-US"/>
        </w:rPr>
      </w:pPr>
      <w:r w:rsidRPr="00BA7744">
        <w:rPr>
          <w:rFonts w:ascii="Arial" w:hAnsi="Arial" w:cs="Arial"/>
          <w:sz w:val="20"/>
          <w:szCs w:val="20"/>
          <w:lang w:val="es-ES_tradnl"/>
        </w:rPr>
        <w:t xml:space="preserve">Fox-Rushby, J A, y K Hanson. </w:t>
      </w:r>
      <w:r w:rsidRPr="00893921">
        <w:rPr>
          <w:rFonts w:ascii="Arial" w:hAnsi="Arial" w:cs="Arial"/>
          <w:sz w:val="20"/>
          <w:szCs w:val="20"/>
          <w:lang w:val="en-US"/>
        </w:rPr>
        <w:t xml:space="preserve">2001. “Calculating y Presenting Disability Adjusted Life Years (DALYs) in Cost-Effectiveness Analysis.” </w:t>
      </w:r>
      <w:r w:rsidRPr="00893921">
        <w:rPr>
          <w:rFonts w:ascii="Arial" w:hAnsi="Arial" w:cs="Arial"/>
          <w:i/>
          <w:iCs/>
          <w:sz w:val="20"/>
          <w:szCs w:val="20"/>
          <w:lang w:val="en-US"/>
        </w:rPr>
        <w:t>Health Policy y Planning</w:t>
      </w:r>
      <w:r w:rsidRPr="00893921">
        <w:rPr>
          <w:rFonts w:ascii="Arial" w:hAnsi="Arial" w:cs="Arial"/>
          <w:sz w:val="20"/>
          <w:szCs w:val="20"/>
          <w:lang w:val="en-US"/>
        </w:rPr>
        <w:t xml:space="preserve"> 16 (3): 326–31. http://www.ncbi.nlm.nih.gov/pubmed/11527874.</w:t>
      </w:r>
    </w:p>
    <w:p w14:paraId="4C96F245" w14:textId="25EDD30F" w:rsidR="0090390B" w:rsidRPr="00893921" w:rsidRDefault="0090390B" w:rsidP="00010F07">
      <w:pPr>
        <w:pStyle w:val="NormalWeb"/>
        <w:ind w:left="480" w:hanging="480"/>
        <w:divId w:val="1804535920"/>
        <w:rPr>
          <w:rFonts w:ascii="Arial" w:hAnsi="Arial" w:cs="Arial"/>
          <w:sz w:val="20"/>
          <w:szCs w:val="20"/>
          <w:lang w:val="en-US"/>
        </w:rPr>
      </w:pPr>
      <w:r w:rsidRPr="0090390B">
        <w:rPr>
          <w:rFonts w:ascii="Arial" w:hAnsi="Arial" w:cs="Arial"/>
          <w:sz w:val="20"/>
          <w:szCs w:val="20"/>
          <w:lang w:val="en-US"/>
        </w:rPr>
        <w:t>Gill, N. (2009). The Impact of E-Health Adoption and Investment on Health Outcomes: A Study using Secondary Analysis. University of Toronto. https://hdl.handle.net/1807/18066</w:t>
      </w:r>
    </w:p>
    <w:p w14:paraId="21ED680B" w14:textId="53DA1D21" w:rsidR="00010F07" w:rsidRPr="00893921" w:rsidRDefault="00010F07" w:rsidP="00010F07">
      <w:pPr>
        <w:pStyle w:val="NormalWeb"/>
        <w:ind w:left="480" w:hanging="480"/>
        <w:divId w:val="1804535920"/>
        <w:rPr>
          <w:rFonts w:ascii="Arial" w:hAnsi="Arial" w:cs="Arial"/>
          <w:sz w:val="20"/>
          <w:szCs w:val="20"/>
          <w:lang w:val="en-US"/>
        </w:rPr>
      </w:pPr>
      <w:r w:rsidRPr="004C78A0">
        <w:rPr>
          <w:rFonts w:ascii="Arial" w:hAnsi="Arial" w:cs="Arial"/>
          <w:sz w:val="20"/>
          <w:szCs w:val="20"/>
          <w:lang w:val="en-US"/>
        </w:rPr>
        <w:lastRenderedPageBreak/>
        <w:t xml:space="preserve">Guanais, Frederico, y James Macinko. </w:t>
      </w:r>
      <w:r w:rsidRPr="00893921">
        <w:rPr>
          <w:rFonts w:ascii="Arial" w:hAnsi="Arial" w:cs="Arial"/>
          <w:sz w:val="20"/>
          <w:szCs w:val="20"/>
          <w:lang w:val="en-US"/>
        </w:rPr>
        <w:t xml:space="preserve">“Primary Care y Avoidable Hospitalizations: Evidence from Brazil.” </w:t>
      </w:r>
      <w:r w:rsidRPr="00893921">
        <w:rPr>
          <w:rFonts w:ascii="Arial" w:hAnsi="Arial" w:cs="Arial"/>
          <w:i/>
          <w:iCs/>
          <w:sz w:val="20"/>
          <w:szCs w:val="20"/>
          <w:lang w:val="en-US"/>
        </w:rPr>
        <w:t>The Journal of Ambulatory Care Management</w:t>
      </w:r>
      <w:r w:rsidRPr="00893921">
        <w:rPr>
          <w:rFonts w:ascii="Arial" w:hAnsi="Arial" w:cs="Arial"/>
          <w:sz w:val="20"/>
          <w:szCs w:val="20"/>
          <w:lang w:val="en-US"/>
        </w:rPr>
        <w:t xml:space="preserve"> 32 (2): 115–22. doi:10.1097/JAC.0b013e31819942e51.</w:t>
      </w:r>
    </w:p>
    <w:p w14:paraId="1BB4B744" w14:textId="749A14EA" w:rsidR="00010F07" w:rsidRDefault="00010F07" w:rsidP="00010F07">
      <w:pPr>
        <w:pStyle w:val="NormalWeb"/>
        <w:ind w:left="480" w:hanging="480"/>
        <w:divId w:val="1804535920"/>
        <w:rPr>
          <w:rFonts w:ascii="Arial" w:hAnsi="Arial" w:cs="Arial"/>
          <w:sz w:val="20"/>
          <w:szCs w:val="20"/>
          <w:lang w:val="en-US"/>
        </w:rPr>
      </w:pPr>
      <w:r w:rsidRPr="00893921">
        <w:rPr>
          <w:rFonts w:ascii="Arial" w:hAnsi="Arial" w:cs="Arial"/>
          <w:sz w:val="20"/>
          <w:szCs w:val="20"/>
          <w:lang w:val="en-US"/>
        </w:rPr>
        <w:t>Heckman, James J, Seong Hyeok Moon, Rodrigo Pinto, Peter Savelyev, y Adam Yavitz. 2010. “A New Cost-Benefit y Rate of Return Analysis for the Perry Preschool Program: A Summary,” July. http://www.nber.org/papers/w16180.</w:t>
      </w:r>
    </w:p>
    <w:p w14:paraId="56213B82" w14:textId="7EA25FA8" w:rsidR="0090390B" w:rsidRDefault="0090390B" w:rsidP="00010F07">
      <w:pPr>
        <w:pStyle w:val="NormalWeb"/>
        <w:ind w:left="480" w:hanging="480"/>
        <w:divId w:val="1804535920"/>
        <w:rPr>
          <w:rFonts w:ascii="Arial" w:hAnsi="Arial" w:cs="Arial"/>
          <w:sz w:val="20"/>
          <w:szCs w:val="20"/>
          <w:lang w:val="en-US"/>
        </w:rPr>
      </w:pPr>
      <w:r w:rsidRPr="0090390B">
        <w:rPr>
          <w:rFonts w:ascii="Arial" w:hAnsi="Arial" w:cs="Arial"/>
          <w:sz w:val="20"/>
          <w:szCs w:val="20"/>
          <w:lang w:val="en-US"/>
        </w:rPr>
        <w:t>Hicks, L., Sequist, T., Ayanian, J., Shaykevich, S., Fairchild, D., Orav, J., Bates, D. (2008). Impact of Computerized Decision Support on Blood Pressure Management and Control: A Randomized Controlled Trial. Journal of General Internal Medicine, 23(4), 429-441.</w:t>
      </w:r>
    </w:p>
    <w:p w14:paraId="2B20DEC8" w14:textId="77777777" w:rsidR="00C01A02" w:rsidRDefault="00C01A02" w:rsidP="008A7761">
      <w:pPr>
        <w:pStyle w:val="NormalWeb"/>
        <w:ind w:left="480" w:hanging="480"/>
        <w:divId w:val="1804535920"/>
        <w:rPr>
          <w:rFonts w:ascii="Arial" w:hAnsi="Arial" w:cs="Arial"/>
          <w:sz w:val="20"/>
          <w:szCs w:val="20"/>
          <w:lang w:val="en-US"/>
        </w:rPr>
      </w:pPr>
      <w:r w:rsidRPr="00C01A02">
        <w:rPr>
          <w:rFonts w:ascii="Arial" w:hAnsi="Arial" w:cs="Arial"/>
          <w:sz w:val="20"/>
          <w:szCs w:val="20"/>
          <w:lang w:val="en-US"/>
        </w:rPr>
        <w:t>Hripcsak, R. Kaushal, K.B. Johnson, J.S. Ash, D.W. Bates, R. Block, M.E. Frisse, L.M. Kern, J. Marchibroda, J.M. Overhage (2007) “The United Hospital Fund meeting on evaluating health information exchange”, J Biomed Inform.</w:t>
      </w:r>
    </w:p>
    <w:p w14:paraId="0FF2DA17" w14:textId="77777777" w:rsidR="00010F07" w:rsidRPr="00893921" w:rsidRDefault="00010F07" w:rsidP="00010F07">
      <w:pPr>
        <w:pStyle w:val="NormalWeb"/>
        <w:ind w:left="480" w:hanging="480"/>
        <w:divId w:val="1804535920"/>
        <w:rPr>
          <w:rFonts w:ascii="Arial" w:hAnsi="Arial" w:cs="Arial"/>
          <w:sz w:val="20"/>
          <w:szCs w:val="20"/>
          <w:lang w:val="en-US"/>
        </w:rPr>
      </w:pPr>
      <w:r w:rsidRPr="00893921">
        <w:rPr>
          <w:rFonts w:ascii="Arial" w:hAnsi="Arial" w:cs="Arial"/>
          <w:sz w:val="20"/>
          <w:szCs w:val="20"/>
          <w:lang w:val="en-US"/>
        </w:rPr>
        <w:t>Jamison, Dean T, Joel G Breman, Anthony R Measham, George Alleyne, Mariam Claeson, David B Evans, Prabhat Jha, Anne Mills, y Philip Musgrove. 2006. “Disease Control Priorities in Developing Countries.” World Bank. http://www.ncbi.nlm.nih.gov/books/NBK11728/.</w:t>
      </w:r>
    </w:p>
    <w:p w14:paraId="1B6C9AFF" w14:textId="77777777" w:rsidR="00C01A02" w:rsidRDefault="00C01A02" w:rsidP="00010F07">
      <w:pPr>
        <w:pStyle w:val="NormalWeb"/>
        <w:ind w:left="480" w:hanging="480"/>
        <w:divId w:val="1804535920"/>
        <w:rPr>
          <w:rFonts w:ascii="Arial" w:hAnsi="Arial" w:cs="Arial"/>
          <w:sz w:val="20"/>
          <w:szCs w:val="20"/>
          <w:lang w:val="en-US"/>
        </w:rPr>
      </w:pPr>
      <w:r w:rsidRPr="00C01A02">
        <w:rPr>
          <w:rFonts w:ascii="Arial" w:hAnsi="Arial" w:cs="Arial"/>
          <w:sz w:val="20"/>
          <w:szCs w:val="20"/>
          <w:lang w:val="en-US"/>
        </w:rPr>
        <w:t>Krahn, L. Hammond, A. Turner (2006), “A cascade of disparities: Health and health care access for people with intellectual disabilities”, Ment Retard Dev Disabil Res Rev.</w:t>
      </w:r>
    </w:p>
    <w:p w14:paraId="23DD37F2" w14:textId="77777777" w:rsidR="00EB4E87" w:rsidRDefault="00EB4E87" w:rsidP="00010F07">
      <w:pPr>
        <w:pStyle w:val="NormalWeb"/>
        <w:ind w:left="480" w:hanging="480"/>
        <w:divId w:val="1804535920"/>
        <w:rPr>
          <w:rFonts w:ascii="Arial" w:hAnsi="Arial" w:cs="Arial"/>
          <w:sz w:val="20"/>
          <w:szCs w:val="20"/>
          <w:lang w:val="en-US"/>
        </w:rPr>
      </w:pPr>
      <w:r w:rsidRPr="00EB4E87">
        <w:rPr>
          <w:rFonts w:ascii="Arial" w:hAnsi="Arial" w:cs="Arial"/>
          <w:sz w:val="20"/>
          <w:szCs w:val="20"/>
          <w:lang w:val="en-US"/>
        </w:rPr>
        <w:t>Lammers, E. J., Adler-Milstein, J., &amp; Kocher, K. E. (2014). Does health information exchange reduce redundant imaging? Evidence from emergency departments. Medical Care, 52(3), 227-234. https://doi.org/10.1097/MLR.0000000000000067</w:t>
      </w:r>
    </w:p>
    <w:p w14:paraId="72A55787" w14:textId="409B60CC" w:rsidR="00010F07" w:rsidRPr="00F87B80" w:rsidRDefault="00010F07" w:rsidP="00010F07">
      <w:pPr>
        <w:pStyle w:val="NormalWeb"/>
        <w:ind w:left="480" w:hanging="480"/>
        <w:divId w:val="1804535920"/>
        <w:rPr>
          <w:rFonts w:ascii="Arial" w:hAnsi="Arial" w:cs="Arial"/>
          <w:sz w:val="20"/>
          <w:szCs w:val="20"/>
          <w:lang w:val="es-ES_tradnl"/>
        </w:rPr>
      </w:pPr>
      <w:r w:rsidRPr="00893921">
        <w:rPr>
          <w:rFonts w:ascii="Arial" w:hAnsi="Arial" w:cs="Arial"/>
          <w:sz w:val="20"/>
          <w:szCs w:val="20"/>
          <w:lang w:val="en-US"/>
        </w:rPr>
        <w:t xml:space="preserve">Lomborg, B. 2010. </w:t>
      </w:r>
      <w:r w:rsidRPr="00893921">
        <w:rPr>
          <w:rFonts w:ascii="Arial" w:hAnsi="Arial" w:cs="Arial"/>
          <w:i/>
          <w:iCs/>
          <w:sz w:val="20"/>
          <w:szCs w:val="20"/>
          <w:lang w:val="en-US"/>
        </w:rPr>
        <w:t>Latin American Development Priorities: Costs y Benefits</w:t>
      </w:r>
      <w:r w:rsidRPr="00893921">
        <w:rPr>
          <w:rFonts w:ascii="Arial" w:hAnsi="Arial" w:cs="Arial"/>
          <w:sz w:val="20"/>
          <w:szCs w:val="20"/>
          <w:lang w:val="en-US"/>
        </w:rPr>
        <w:t xml:space="preserve">. </w:t>
      </w:r>
      <w:r w:rsidRPr="00F87B80">
        <w:rPr>
          <w:rFonts w:ascii="Arial" w:hAnsi="Arial" w:cs="Arial"/>
          <w:sz w:val="20"/>
          <w:szCs w:val="20"/>
          <w:lang w:val="es-ES_tradnl"/>
        </w:rPr>
        <w:t>Cambridge, Reino Unido: Cambridge University Press. https://books.google.com/books?hl=en&amp;lr=&amp;id=O5V7K2n-ZJoC&amp;oi=fnd&amp;pg=PR5&amp;dq=Latin+American+Development+Priorities:+Costs+y+Benefits&amp;ots=vnG-qCOlbp&amp;sig=vP8HN44kpmIQa4p-kMllDudsV7s.</w:t>
      </w:r>
    </w:p>
    <w:p w14:paraId="4C1BD891" w14:textId="77777777" w:rsidR="00010F07" w:rsidRPr="00893921" w:rsidRDefault="00010F07" w:rsidP="00010F07">
      <w:pPr>
        <w:pStyle w:val="NormalWeb"/>
        <w:ind w:left="480" w:hanging="480"/>
        <w:divId w:val="1804535920"/>
        <w:rPr>
          <w:rFonts w:ascii="Arial" w:hAnsi="Arial" w:cs="Arial"/>
          <w:sz w:val="20"/>
          <w:szCs w:val="20"/>
          <w:lang w:val="en-US"/>
        </w:rPr>
      </w:pPr>
      <w:r w:rsidRPr="00893921">
        <w:rPr>
          <w:rFonts w:ascii="Arial" w:hAnsi="Arial" w:cs="Arial"/>
          <w:sz w:val="20"/>
          <w:szCs w:val="20"/>
          <w:lang w:val="en-US"/>
        </w:rPr>
        <w:t xml:space="preserve">Lopez, Humberto. 2008. </w:t>
      </w:r>
      <w:r w:rsidRPr="00893921">
        <w:rPr>
          <w:rFonts w:ascii="Arial" w:hAnsi="Arial" w:cs="Arial"/>
          <w:i/>
          <w:iCs/>
          <w:sz w:val="20"/>
          <w:szCs w:val="20"/>
          <w:lang w:val="en-US"/>
        </w:rPr>
        <w:t>The Social Discount Rate: Estimates For Nine Latin American Countries</w:t>
      </w:r>
      <w:r w:rsidRPr="00893921">
        <w:rPr>
          <w:rFonts w:ascii="Arial" w:hAnsi="Arial" w:cs="Arial"/>
          <w:sz w:val="20"/>
          <w:szCs w:val="20"/>
          <w:lang w:val="en-US"/>
        </w:rPr>
        <w:t>. Policy Research Working Papers. The World Bank. doi:10.1596/1813-9450-4639.</w:t>
      </w:r>
    </w:p>
    <w:p w14:paraId="63501CB3" w14:textId="77777777" w:rsidR="00010F07" w:rsidRPr="00893921" w:rsidRDefault="00010F07" w:rsidP="00010F07">
      <w:pPr>
        <w:pStyle w:val="NormalWeb"/>
        <w:ind w:left="480" w:hanging="480"/>
        <w:divId w:val="1804535920"/>
        <w:rPr>
          <w:rFonts w:ascii="Arial" w:hAnsi="Arial" w:cs="Arial"/>
          <w:sz w:val="20"/>
          <w:szCs w:val="20"/>
          <w:lang w:val="en-US"/>
        </w:rPr>
      </w:pPr>
      <w:r w:rsidRPr="00893921">
        <w:rPr>
          <w:rFonts w:ascii="Arial" w:hAnsi="Arial" w:cs="Arial"/>
          <w:sz w:val="20"/>
          <w:szCs w:val="20"/>
          <w:lang w:val="en-US"/>
        </w:rPr>
        <w:t xml:space="preserve">Macinko, James, Veneza B de Oliveira, Maria A Turci, Frederico C Guanais, Palmira F Bonolo, y Maria F Lima-Costa. 2011. “The Influence of Primary Care y Hospital Supply on Ambulatory Care-Sensitive Hospitalizations among Adults in Brazil, 1999-2007.” </w:t>
      </w:r>
      <w:r w:rsidRPr="00893921">
        <w:rPr>
          <w:rFonts w:ascii="Arial" w:hAnsi="Arial" w:cs="Arial"/>
          <w:i/>
          <w:iCs/>
          <w:sz w:val="20"/>
          <w:szCs w:val="20"/>
          <w:lang w:val="en-US"/>
        </w:rPr>
        <w:t>American Journal of Public Health</w:t>
      </w:r>
      <w:r w:rsidRPr="00893921">
        <w:rPr>
          <w:rFonts w:ascii="Arial" w:hAnsi="Arial" w:cs="Arial"/>
          <w:sz w:val="20"/>
          <w:szCs w:val="20"/>
          <w:lang w:val="en-US"/>
        </w:rPr>
        <w:t xml:space="preserve"> 101 (10): 1963–70. doi:10.2105/AJPH.2010.198887.</w:t>
      </w:r>
    </w:p>
    <w:p w14:paraId="1369D9B2" w14:textId="77777777" w:rsidR="00010F07" w:rsidRPr="00893921" w:rsidRDefault="00010F07" w:rsidP="00010F07">
      <w:pPr>
        <w:pStyle w:val="NormalWeb"/>
        <w:ind w:left="480" w:hanging="480"/>
        <w:divId w:val="1804535920"/>
        <w:rPr>
          <w:rFonts w:ascii="Arial" w:hAnsi="Arial" w:cs="Arial"/>
          <w:sz w:val="20"/>
          <w:szCs w:val="20"/>
          <w:lang w:val="en-US"/>
        </w:rPr>
      </w:pPr>
      <w:r w:rsidRPr="00893921">
        <w:rPr>
          <w:rFonts w:ascii="Arial" w:hAnsi="Arial" w:cs="Arial"/>
          <w:sz w:val="20"/>
          <w:szCs w:val="20"/>
          <w:lang w:val="en-US"/>
        </w:rPr>
        <w:t xml:space="preserve">Macinko, James, y Matthew Harris. 2015. “Brazil’s Family Health Strategy — Delivering Community-Based Primary Care in a Universal Health System.” </w:t>
      </w:r>
      <w:r w:rsidRPr="00893921">
        <w:rPr>
          <w:rFonts w:ascii="Arial" w:hAnsi="Arial" w:cs="Arial"/>
          <w:i/>
          <w:iCs/>
          <w:sz w:val="20"/>
          <w:szCs w:val="20"/>
          <w:lang w:val="en-US"/>
        </w:rPr>
        <w:t>The New Engly Journal of Medicine</w:t>
      </w:r>
      <w:r w:rsidRPr="00893921">
        <w:rPr>
          <w:rFonts w:ascii="Arial" w:hAnsi="Arial" w:cs="Arial"/>
          <w:sz w:val="20"/>
          <w:szCs w:val="20"/>
          <w:lang w:val="en-US"/>
        </w:rPr>
        <w:t xml:space="preserve"> 372 (23): 2177–81. doi:10.1056/NEJMp1501140.</w:t>
      </w:r>
    </w:p>
    <w:p w14:paraId="5ED12CE5" w14:textId="77777777" w:rsidR="00010F07" w:rsidRPr="00893921" w:rsidRDefault="00010F07" w:rsidP="00010F07">
      <w:pPr>
        <w:pStyle w:val="NormalWeb"/>
        <w:ind w:left="480" w:hanging="480"/>
        <w:divId w:val="1804535920"/>
        <w:rPr>
          <w:rFonts w:ascii="Arial" w:hAnsi="Arial" w:cs="Arial"/>
          <w:sz w:val="20"/>
          <w:szCs w:val="20"/>
          <w:lang w:val="en-US"/>
        </w:rPr>
      </w:pPr>
      <w:r w:rsidRPr="00893921">
        <w:rPr>
          <w:rFonts w:ascii="Arial" w:hAnsi="Arial" w:cs="Arial"/>
          <w:sz w:val="20"/>
          <w:szCs w:val="20"/>
          <w:lang w:val="en-US"/>
        </w:rPr>
        <w:t xml:space="preserve">Martinez, R, y A Fernández. 2008. </w:t>
      </w:r>
      <w:r w:rsidRPr="00893921">
        <w:rPr>
          <w:rFonts w:ascii="Arial" w:hAnsi="Arial" w:cs="Arial"/>
          <w:i/>
          <w:iCs/>
          <w:sz w:val="20"/>
          <w:szCs w:val="20"/>
          <w:lang w:val="en-US"/>
        </w:rPr>
        <w:t>The Cost of Hunger: Social y Economic Impact of Child Undernutrition in Central America y the Dominican Republic</w:t>
      </w:r>
      <w:r w:rsidRPr="00893921">
        <w:rPr>
          <w:rFonts w:ascii="Arial" w:hAnsi="Arial" w:cs="Arial"/>
          <w:sz w:val="20"/>
          <w:szCs w:val="20"/>
          <w:lang w:val="en-US"/>
        </w:rPr>
        <w:t>. http://gommes.net/wergosum/wp-content/uploads/2012/07/2008_cost-of-hunger_wfp.pdf.</w:t>
      </w:r>
    </w:p>
    <w:p w14:paraId="4003744F" w14:textId="77777777" w:rsidR="00C01A02" w:rsidRDefault="00C01A02" w:rsidP="00010F07">
      <w:pPr>
        <w:pStyle w:val="NormalWeb"/>
        <w:ind w:left="480" w:hanging="480"/>
        <w:divId w:val="1804535920"/>
        <w:rPr>
          <w:rFonts w:ascii="Arial" w:hAnsi="Arial" w:cs="Arial"/>
          <w:sz w:val="20"/>
          <w:szCs w:val="20"/>
          <w:lang w:val="en-US"/>
        </w:rPr>
      </w:pPr>
      <w:r w:rsidRPr="00C01A02">
        <w:rPr>
          <w:rFonts w:ascii="Arial" w:hAnsi="Arial" w:cs="Arial"/>
          <w:sz w:val="20"/>
          <w:szCs w:val="20"/>
          <w:lang w:val="en-US"/>
        </w:rPr>
        <w:t>Mastebroek, J. Naaldenberg, A.L. Lagro-Janssen, H. van Schrojenstein Lantman de Valk, (2014) “Health information exchange in general practice care for people with intellectual disabilities--a qualitative review of the literature”, Res Dev Disabil.</w:t>
      </w:r>
    </w:p>
    <w:p w14:paraId="19B445FA" w14:textId="105C4D05" w:rsidR="00010F07" w:rsidRPr="004C78A0" w:rsidRDefault="00010F07" w:rsidP="00010F07">
      <w:pPr>
        <w:pStyle w:val="NormalWeb"/>
        <w:ind w:left="480" w:hanging="480"/>
        <w:divId w:val="1804535920"/>
        <w:rPr>
          <w:rFonts w:ascii="Arial" w:hAnsi="Arial" w:cs="Arial"/>
          <w:sz w:val="20"/>
          <w:szCs w:val="20"/>
          <w:lang w:val="en-US"/>
        </w:rPr>
      </w:pPr>
      <w:r w:rsidRPr="00893921">
        <w:rPr>
          <w:rFonts w:ascii="Arial" w:hAnsi="Arial" w:cs="Arial"/>
          <w:sz w:val="20"/>
          <w:szCs w:val="20"/>
          <w:lang w:val="en-US"/>
        </w:rPr>
        <w:lastRenderedPageBreak/>
        <w:t xml:space="preserve">Mathers, Colin, Theo Vos, Alan Lopez, Josh Salomon, y Majid Ezzati, eds. 2001. </w:t>
      </w:r>
      <w:r w:rsidRPr="004C78A0">
        <w:rPr>
          <w:rFonts w:ascii="Arial" w:hAnsi="Arial" w:cs="Arial"/>
          <w:i/>
          <w:iCs/>
          <w:sz w:val="20"/>
          <w:szCs w:val="20"/>
          <w:lang w:val="en-US"/>
        </w:rPr>
        <w:t>National Burden of Disease Studies: A Practical Guide. Edition 2.0</w:t>
      </w:r>
      <w:r w:rsidRPr="004C78A0">
        <w:rPr>
          <w:rFonts w:ascii="Arial" w:hAnsi="Arial" w:cs="Arial"/>
          <w:sz w:val="20"/>
          <w:szCs w:val="20"/>
          <w:lang w:val="en-US"/>
        </w:rPr>
        <w:t>. Giinebra, Suiza: Organización Mundial de la Salud.</w:t>
      </w:r>
    </w:p>
    <w:p w14:paraId="467AB06E" w14:textId="77777777" w:rsidR="00BD674B" w:rsidRDefault="00BD674B" w:rsidP="00010F07">
      <w:pPr>
        <w:pStyle w:val="NormalWeb"/>
        <w:ind w:left="480" w:hanging="480"/>
        <w:divId w:val="1804535920"/>
        <w:rPr>
          <w:rFonts w:ascii="Arial" w:hAnsi="Arial" w:cs="Arial"/>
          <w:sz w:val="20"/>
          <w:szCs w:val="20"/>
          <w:lang w:val="en-US"/>
        </w:rPr>
      </w:pPr>
      <w:r w:rsidRPr="00BD674B">
        <w:rPr>
          <w:rFonts w:ascii="Arial" w:hAnsi="Arial" w:cs="Arial"/>
          <w:sz w:val="20"/>
          <w:szCs w:val="20"/>
          <w:lang w:val="en-US"/>
        </w:rPr>
        <w:t>Menachemi, N. &amp; Collum. (2011). Benefits and drawbacks of electronic health record systems. Risk Management and Healthcare Policy, 47. https://doi.org/10.2147/RMHP.S12985</w:t>
      </w:r>
    </w:p>
    <w:p w14:paraId="2EF91C7C" w14:textId="76556E70" w:rsidR="0090390B" w:rsidRPr="004C78A0" w:rsidRDefault="0090390B" w:rsidP="00010F07">
      <w:pPr>
        <w:pStyle w:val="NormalWeb"/>
        <w:ind w:left="480" w:hanging="480"/>
        <w:divId w:val="1804535920"/>
        <w:rPr>
          <w:rFonts w:ascii="Arial" w:hAnsi="Arial" w:cs="Arial"/>
          <w:sz w:val="20"/>
          <w:szCs w:val="20"/>
          <w:lang w:val="en-US"/>
        </w:rPr>
      </w:pPr>
      <w:r w:rsidRPr="004C78A0">
        <w:rPr>
          <w:rFonts w:ascii="Arial" w:hAnsi="Arial" w:cs="Arial"/>
          <w:sz w:val="20"/>
          <w:szCs w:val="20"/>
          <w:lang w:val="en-US"/>
        </w:rPr>
        <w:t>McCullough, J. Mac PhD, MPH; Singh, Simone R. PhD; Leider, Jonathon P. PhD. (2019) The Importance of Governmental and Nongovernmental Investments in Public Health and Social Services for Improving Community Health Outcomes, Journal of Public Health Management and Practice. Volume 25 - Issue 4 - p 348-356. doi: 10.1097/PHH.0000000000000856</w:t>
      </w:r>
    </w:p>
    <w:p w14:paraId="72E5A27F" w14:textId="77777777" w:rsidR="00010F07" w:rsidRPr="00893921" w:rsidRDefault="00010F07" w:rsidP="00010F07">
      <w:pPr>
        <w:pStyle w:val="NormalWeb"/>
        <w:ind w:left="480" w:hanging="480"/>
        <w:divId w:val="1804535920"/>
        <w:rPr>
          <w:rFonts w:ascii="Arial" w:hAnsi="Arial" w:cs="Arial"/>
          <w:sz w:val="20"/>
          <w:szCs w:val="20"/>
          <w:lang w:val="en-US"/>
        </w:rPr>
      </w:pPr>
      <w:r w:rsidRPr="004C78A0">
        <w:rPr>
          <w:rFonts w:ascii="Arial" w:hAnsi="Arial" w:cs="Arial"/>
          <w:sz w:val="20"/>
          <w:szCs w:val="20"/>
          <w:lang w:val="en-US"/>
        </w:rPr>
        <w:t xml:space="preserve">Murray, C J, y A D Lopez. </w:t>
      </w:r>
      <w:r w:rsidRPr="00893921">
        <w:rPr>
          <w:rFonts w:ascii="Arial" w:hAnsi="Arial" w:cs="Arial"/>
          <w:sz w:val="20"/>
          <w:szCs w:val="20"/>
          <w:lang w:val="en-US"/>
        </w:rPr>
        <w:t xml:space="preserve">1994. “Quantifying Disability: Data, Methods y Results.” </w:t>
      </w:r>
      <w:r w:rsidRPr="00893921">
        <w:rPr>
          <w:rFonts w:ascii="Arial" w:hAnsi="Arial" w:cs="Arial"/>
          <w:i/>
          <w:iCs/>
          <w:sz w:val="20"/>
          <w:szCs w:val="20"/>
          <w:lang w:val="en-US"/>
        </w:rPr>
        <w:t>Bulletin of the World Health Organization</w:t>
      </w:r>
      <w:r w:rsidRPr="00893921">
        <w:rPr>
          <w:rFonts w:ascii="Arial" w:hAnsi="Arial" w:cs="Arial"/>
          <w:sz w:val="20"/>
          <w:szCs w:val="20"/>
          <w:lang w:val="en-US"/>
        </w:rPr>
        <w:t xml:space="preserve"> 72 (3): 481–94. http://www.pubmedcentral.nih.gov/articlerender.fcgi?artid=2486704&amp;tool=pmcentrez&amp;rendertype=abstract.</w:t>
      </w:r>
    </w:p>
    <w:p w14:paraId="6E97D79F" w14:textId="77777777" w:rsidR="00010F07" w:rsidRPr="00893921" w:rsidRDefault="00010F07" w:rsidP="00010F07">
      <w:pPr>
        <w:pStyle w:val="NormalWeb"/>
        <w:ind w:left="480" w:hanging="480"/>
        <w:divId w:val="1804535920"/>
        <w:rPr>
          <w:rFonts w:ascii="Arial" w:hAnsi="Arial" w:cs="Arial"/>
          <w:sz w:val="20"/>
          <w:szCs w:val="20"/>
          <w:lang w:val="en-US"/>
        </w:rPr>
      </w:pPr>
      <w:r w:rsidRPr="00893921">
        <w:rPr>
          <w:rFonts w:ascii="Arial" w:hAnsi="Arial" w:cs="Arial"/>
          <w:sz w:val="20"/>
          <w:szCs w:val="20"/>
          <w:lang w:val="en-US"/>
        </w:rPr>
        <w:t xml:space="preserve">Murray, Christopher J L, Jeremy A Lauer, Raymond C W Hutubessy, Louis Niessen, Niels Tomijima, Anthony Rodgers, Carlene M M Lawes, y David B Evans. 2003. “Effectiveness y Costs of Interventions to Lower Systolic Blood Pressure y Cholesterol: A Global y Regional Analysis on Reduction of Cardiovascular-Disease Risk.” </w:t>
      </w:r>
      <w:r w:rsidRPr="00893921">
        <w:rPr>
          <w:rFonts w:ascii="Arial" w:hAnsi="Arial" w:cs="Arial"/>
          <w:i/>
          <w:iCs/>
          <w:sz w:val="20"/>
          <w:szCs w:val="20"/>
          <w:lang w:val="en-US"/>
        </w:rPr>
        <w:t>Lancet</w:t>
      </w:r>
      <w:r w:rsidRPr="00893921">
        <w:rPr>
          <w:rFonts w:ascii="Arial" w:hAnsi="Arial" w:cs="Arial"/>
          <w:sz w:val="20"/>
          <w:szCs w:val="20"/>
          <w:lang w:val="en-US"/>
        </w:rPr>
        <w:t xml:space="preserve"> 361 (9359): 717–25. doi:10.1016/S0140-6736(03)12655-4.</w:t>
      </w:r>
    </w:p>
    <w:p w14:paraId="45C357E4" w14:textId="77777777" w:rsidR="00010F07" w:rsidRPr="00210A53" w:rsidRDefault="00010F07" w:rsidP="00010F07">
      <w:pPr>
        <w:pStyle w:val="NormalWeb"/>
        <w:ind w:left="480" w:hanging="480"/>
        <w:divId w:val="1804535920"/>
        <w:rPr>
          <w:rFonts w:ascii="Arial" w:hAnsi="Arial" w:cs="Arial"/>
          <w:sz w:val="20"/>
          <w:szCs w:val="20"/>
        </w:rPr>
      </w:pPr>
      <w:r w:rsidRPr="00893921">
        <w:rPr>
          <w:rFonts w:ascii="Arial" w:hAnsi="Arial" w:cs="Arial"/>
          <w:sz w:val="20"/>
          <w:szCs w:val="20"/>
          <w:lang w:val="en-US"/>
        </w:rPr>
        <w:t xml:space="preserve">Organización Mundial de la Salud. 2015. “Cost Effectiveness y Strategic Planning (WHO-CHOICE).” </w:t>
      </w:r>
      <w:r w:rsidRPr="00210A53">
        <w:rPr>
          <w:rFonts w:ascii="Arial" w:hAnsi="Arial" w:cs="Arial"/>
          <w:sz w:val="20"/>
          <w:szCs w:val="20"/>
        </w:rPr>
        <w:t>Ginebra, Suiza: Organización Mundial de la Salud. http://www.who.int/choice/costs/CER_thresholds/en/.</w:t>
      </w:r>
    </w:p>
    <w:p w14:paraId="1270D59D" w14:textId="77777777" w:rsidR="004E289D" w:rsidRPr="004E289D" w:rsidRDefault="004E289D" w:rsidP="00010F07">
      <w:pPr>
        <w:pStyle w:val="NormalWeb"/>
        <w:ind w:left="480" w:hanging="480"/>
        <w:divId w:val="1804535920"/>
        <w:rPr>
          <w:rFonts w:ascii="Arial" w:hAnsi="Arial" w:cs="Arial"/>
          <w:sz w:val="20"/>
          <w:szCs w:val="20"/>
          <w:lang w:val="en-US"/>
        </w:rPr>
      </w:pPr>
      <w:r w:rsidRPr="00F87B80">
        <w:rPr>
          <w:rFonts w:ascii="Arial" w:hAnsi="Arial" w:cs="Arial"/>
          <w:sz w:val="20"/>
          <w:szCs w:val="20"/>
          <w:lang w:val="es-ES_tradnl"/>
        </w:rPr>
        <w:t xml:space="preserve">Sadoughi, F., Nasiri, S., &amp; Ahmadi, H. (2018). </w:t>
      </w:r>
      <w:r w:rsidRPr="004E289D">
        <w:rPr>
          <w:rFonts w:ascii="Arial" w:hAnsi="Arial" w:cs="Arial"/>
          <w:sz w:val="20"/>
          <w:szCs w:val="20"/>
          <w:lang w:val="en-US"/>
        </w:rPr>
        <w:t xml:space="preserve">The impact of health information exchange on healthcare quality and cost-effectiveness: A systematic literature review. Computer methods and programs in biomedicine, 161, 209–232. https://doi.org/10.1016/j.cmpb.2018.04.023 </w:t>
      </w:r>
    </w:p>
    <w:p w14:paraId="720FB22C" w14:textId="79176B00" w:rsidR="00010F07" w:rsidRPr="00F87B80" w:rsidRDefault="00010F07" w:rsidP="00010F07">
      <w:pPr>
        <w:pStyle w:val="NormalWeb"/>
        <w:ind w:left="480" w:hanging="480"/>
        <w:divId w:val="1804535920"/>
        <w:rPr>
          <w:rFonts w:ascii="Arial" w:hAnsi="Arial" w:cs="Arial"/>
          <w:sz w:val="20"/>
          <w:szCs w:val="20"/>
          <w:lang w:val="es-ES_tradnl"/>
        </w:rPr>
      </w:pPr>
      <w:r w:rsidRPr="00F87B80">
        <w:rPr>
          <w:rFonts w:ascii="Arial" w:hAnsi="Arial" w:cs="Arial"/>
          <w:sz w:val="20"/>
          <w:szCs w:val="20"/>
          <w:lang w:val="es-ES_tradnl"/>
        </w:rPr>
        <w:t xml:space="preserve">Salomon, Joshua A, Natalie Carvalho, Cristina Gutiérrez-Delgado, Ricardo Orozco, Anna Mancuso, Daniel R Hogan, Diana Lee, et al. 2012. </w:t>
      </w:r>
      <w:r w:rsidRPr="00893921">
        <w:rPr>
          <w:rFonts w:ascii="Arial" w:hAnsi="Arial" w:cs="Arial"/>
          <w:sz w:val="20"/>
          <w:szCs w:val="20"/>
          <w:lang w:val="en-US"/>
        </w:rPr>
        <w:t xml:space="preserve">“Intervention Strategies to Reduce the Burden of Non-Communicable Diseases in Mexico: Cost Effectiveness Analysis.” </w:t>
      </w:r>
      <w:r w:rsidRPr="00F87B80">
        <w:rPr>
          <w:rFonts w:ascii="Arial" w:hAnsi="Arial" w:cs="Arial"/>
          <w:i/>
          <w:iCs/>
          <w:sz w:val="20"/>
          <w:szCs w:val="20"/>
          <w:lang w:val="es-ES_tradnl"/>
        </w:rPr>
        <w:t>BMJ (Clinical Research Ed.)</w:t>
      </w:r>
      <w:r w:rsidRPr="00F87B80">
        <w:rPr>
          <w:rFonts w:ascii="Arial" w:hAnsi="Arial" w:cs="Arial"/>
          <w:sz w:val="20"/>
          <w:szCs w:val="20"/>
          <w:lang w:val="es-ES_tradnl"/>
        </w:rPr>
        <w:t xml:space="preserve"> 344 (mar02_1): e355. doi:10.1136/bmj.e355.</w:t>
      </w:r>
    </w:p>
    <w:p w14:paraId="79C011FD" w14:textId="6C3654A3" w:rsidR="002B42AF" w:rsidRPr="00636DE8" w:rsidRDefault="002B42AF" w:rsidP="00010F07">
      <w:pPr>
        <w:pStyle w:val="NormalWeb"/>
        <w:ind w:left="480" w:hanging="480"/>
        <w:divId w:val="1804535920"/>
        <w:rPr>
          <w:rFonts w:ascii="Arial" w:hAnsi="Arial" w:cs="Arial"/>
          <w:sz w:val="20"/>
          <w:szCs w:val="20"/>
        </w:rPr>
      </w:pPr>
      <w:r w:rsidRPr="00F87B80">
        <w:rPr>
          <w:rFonts w:ascii="Arial" w:hAnsi="Arial" w:cs="Arial"/>
          <w:sz w:val="20"/>
          <w:szCs w:val="20"/>
          <w:lang w:val="es-ES_tradnl"/>
        </w:rPr>
        <w:t xml:space="preserve">Sánchez-Talanquer, Mariano, González-Pier, Eduardo, Sepúlveda, Jaime, Abascal-Miguel, Lucía, Fieldhouse, Jane, del Río, Carlos, Gallelee, Sarah. </w:t>
      </w:r>
      <w:r>
        <w:rPr>
          <w:rFonts w:ascii="Arial" w:hAnsi="Arial" w:cs="Arial"/>
          <w:sz w:val="20"/>
          <w:szCs w:val="20"/>
        </w:rPr>
        <w:t xml:space="preserve">"La respuesta de México al COVID-19: Estudio de caso." </w:t>
      </w:r>
      <w:r w:rsidRPr="00636DE8">
        <w:rPr>
          <w:rFonts w:ascii="Arial" w:hAnsi="Arial" w:cs="Arial"/>
          <w:i/>
          <w:iCs/>
          <w:sz w:val="20"/>
          <w:szCs w:val="20"/>
        </w:rPr>
        <w:t>UCSF Institute for Global Health Sciences.</w:t>
      </w:r>
      <w:r w:rsidRPr="00636DE8">
        <w:rPr>
          <w:rFonts w:ascii="Arial" w:hAnsi="Arial" w:cs="Arial"/>
          <w:sz w:val="20"/>
          <w:szCs w:val="20"/>
        </w:rPr>
        <w:t xml:space="preserve"> https://globalhealthsciences.ucsf.edu/sites/globalhealthsciences.ucsf.edu/files/la_respuesta_de_mexico_al_covid_esp.pdf</w:t>
      </w:r>
    </w:p>
    <w:p w14:paraId="5F3334D9" w14:textId="514F5C27" w:rsidR="00010F07" w:rsidRPr="004C78A0" w:rsidRDefault="00010F07" w:rsidP="00010F07">
      <w:pPr>
        <w:pStyle w:val="NormalWeb"/>
        <w:ind w:left="480" w:hanging="480"/>
        <w:divId w:val="1804535920"/>
        <w:rPr>
          <w:rFonts w:ascii="Arial" w:hAnsi="Arial" w:cs="Arial"/>
          <w:sz w:val="20"/>
          <w:szCs w:val="20"/>
          <w:lang w:val="en-US"/>
        </w:rPr>
      </w:pPr>
      <w:r w:rsidRPr="002B42AF">
        <w:rPr>
          <w:rFonts w:ascii="Arial" w:hAnsi="Arial" w:cs="Arial"/>
          <w:sz w:val="20"/>
          <w:szCs w:val="20"/>
        </w:rPr>
        <w:t xml:space="preserve">Tan-Torres Edejer, T, R. Baltussen, T Adam, R Hutubessy, A. Acharya, D.B. Evans, y C.J.L. Murray, eds. 2003. </w:t>
      </w:r>
      <w:r w:rsidRPr="00893921">
        <w:rPr>
          <w:rFonts w:ascii="Arial" w:hAnsi="Arial" w:cs="Arial"/>
          <w:i/>
          <w:iCs/>
          <w:sz w:val="20"/>
          <w:szCs w:val="20"/>
          <w:lang w:val="en-US"/>
        </w:rPr>
        <w:t>Making Choices in Health:WHO Guide to Cost-Effectiveness Analysis</w:t>
      </w:r>
      <w:r w:rsidRPr="00893921">
        <w:rPr>
          <w:rFonts w:ascii="Arial" w:hAnsi="Arial" w:cs="Arial"/>
          <w:sz w:val="20"/>
          <w:szCs w:val="20"/>
          <w:lang w:val="en-US"/>
        </w:rPr>
        <w:t xml:space="preserve">. </w:t>
      </w:r>
      <w:r w:rsidRPr="004C78A0">
        <w:rPr>
          <w:rFonts w:ascii="Arial" w:hAnsi="Arial" w:cs="Arial"/>
          <w:sz w:val="20"/>
          <w:szCs w:val="20"/>
          <w:lang w:val="en-US"/>
        </w:rPr>
        <w:t>Ginebra, Suiza: Organización Mundial de la Salud.</w:t>
      </w:r>
    </w:p>
    <w:p w14:paraId="6C8F280C" w14:textId="62B09C97" w:rsidR="00E169C8" w:rsidRPr="00E169C8" w:rsidRDefault="00E169C8" w:rsidP="00010F07">
      <w:pPr>
        <w:pStyle w:val="NormalWeb"/>
        <w:ind w:left="480" w:hanging="480"/>
        <w:divId w:val="1804535920"/>
        <w:rPr>
          <w:rFonts w:ascii="Arial" w:hAnsi="Arial" w:cs="Arial"/>
          <w:sz w:val="20"/>
          <w:szCs w:val="20"/>
          <w:lang w:val="en-US"/>
        </w:rPr>
      </w:pPr>
      <w:r w:rsidRPr="00E169C8">
        <w:rPr>
          <w:rFonts w:ascii="Arial" w:hAnsi="Arial" w:cs="Arial"/>
          <w:sz w:val="20"/>
          <w:szCs w:val="20"/>
          <w:lang w:val="en-US"/>
        </w:rPr>
        <w:t>Valdivia, M. (2004). Poverty, health infrastructure and the nutrition of Peruvian children. Economics &amp; Human Biology. Volume 2, Issue 3: 489-510. https://doi.org/10.1016/j.ehb.2004.10.008.</w:t>
      </w:r>
    </w:p>
    <w:p w14:paraId="43B4730C" w14:textId="77777777" w:rsidR="000F7A3A" w:rsidRDefault="000F7A3A" w:rsidP="00010F07">
      <w:pPr>
        <w:pStyle w:val="NormalWeb"/>
        <w:ind w:left="480" w:hanging="480"/>
        <w:divId w:val="1804535920"/>
        <w:rPr>
          <w:rFonts w:ascii="Arial" w:hAnsi="Arial" w:cs="Arial"/>
          <w:sz w:val="20"/>
          <w:szCs w:val="20"/>
          <w:lang w:val="en-US"/>
        </w:rPr>
      </w:pPr>
      <w:r w:rsidRPr="000F7A3A">
        <w:rPr>
          <w:rFonts w:ascii="Arial" w:hAnsi="Arial" w:cs="Arial"/>
          <w:sz w:val="20"/>
          <w:szCs w:val="20"/>
          <w:lang w:val="en-US"/>
        </w:rPr>
        <w:t>Vest, J. R., Kern, L. M., Campion, T. R., Silver, M. D., &amp; Kaushal, R. (2014). Association between use of a health information exchange system and hospital admissions. Applied Clinical Informatics, 05(01), 219-231. https://doi.org/10.4338/ACI-2013-10-RA-0083</w:t>
      </w:r>
    </w:p>
    <w:p w14:paraId="4A7F5434" w14:textId="374741CF" w:rsidR="00010F07" w:rsidRPr="00893921" w:rsidRDefault="00010F07" w:rsidP="00010F07">
      <w:pPr>
        <w:pStyle w:val="NormalWeb"/>
        <w:ind w:left="480" w:hanging="480"/>
        <w:divId w:val="1804535920"/>
        <w:rPr>
          <w:rFonts w:ascii="Arial" w:hAnsi="Arial" w:cs="Arial"/>
          <w:sz w:val="20"/>
          <w:szCs w:val="20"/>
          <w:lang w:val="en-US"/>
        </w:rPr>
      </w:pPr>
      <w:r w:rsidRPr="002C7BDF">
        <w:rPr>
          <w:rFonts w:ascii="Arial" w:hAnsi="Arial" w:cs="Arial"/>
          <w:sz w:val="20"/>
          <w:szCs w:val="20"/>
          <w:lang w:val="en-US"/>
        </w:rPr>
        <w:lastRenderedPageBreak/>
        <w:t xml:space="preserve">Zhuang, J, Z Liang, T Lin, y F De Guzman. </w:t>
      </w:r>
      <w:r w:rsidRPr="00893921">
        <w:rPr>
          <w:rFonts w:ascii="Arial" w:hAnsi="Arial" w:cs="Arial"/>
          <w:sz w:val="20"/>
          <w:szCs w:val="20"/>
          <w:lang w:val="en-US"/>
        </w:rPr>
        <w:t>2007. “Theory y Practice in the Choice of Social Discount Rate for Cost-Benefit Analysis: A Survey.” https://adb-test.atmire.com/hyle/11540/1853.</w:t>
      </w:r>
    </w:p>
    <w:p w14:paraId="11CE33E6" w14:textId="0B2E987F" w:rsidR="00010F07" w:rsidRPr="00893921" w:rsidRDefault="00010F07" w:rsidP="00010F07">
      <w:pPr>
        <w:pStyle w:val="NormalWeb"/>
        <w:ind w:left="480" w:hanging="480"/>
        <w:divId w:val="1804535920"/>
        <w:rPr>
          <w:rFonts w:ascii="Arial" w:hAnsi="Arial" w:cs="Arial"/>
          <w:sz w:val="20"/>
          <w:szCs w:val="20"/>
          <w:lang w:val="en-US"/>
        </w:rPr>
      </w:pPr>
      <w:r w:rsidRPr="1F2A10AC">
        <w:rPr>
          <w:rFonts w:ascii="Arial" w:hAnsi="Arial" w:cs="Arial"/>
          <w:sz w:val="20"/>
          <w:szCs w:val="20"/>
        </w:rPr>
        <w:fldChar w:fldCharType="end"/>
      </w:r>
      <w:r w:rsidRPr="1F2A10AC">
        <w:rPr>
          <w:rFonts w:ascii="Arial" w:hAnsi="Arial" w:cs="Arial"/>
          <w:sz w:val="20"/>
          <w:szCs w:val="20"/>
          <w:lang w:val="en-US"/>
        </w:rPr>
        <w:t xml:space="preserve"> World Health Organization (WHO) (2020). </w:t>
      </w:r>
      <w:r w:rsidR="1F2A10AC" w:rsidRPr="1F2A10AC">
        <w:rPr>
          <w:rFonts w:ascii="Arial" w:hAnsi="Arial" w:cs="Arial"/>
          <w:sz w:val="20"/>
          <w:szCs w:val="20"/>
          <w:lang w:val="en-US"/>
        </w:rPr>
        <w:t>WHO methods and data sources for global burden of disease estimates 2000-2019. Global Health Estimates Technical Paper. Geneva. https://cdn.who.int/media/docs/default-source/gho-documents/global-health-estimates/ghe2019_daly-methods.pdf?sfvrsn=31b25009_7</w:t>
      </w:r>
    </w:p>
    <w:p w14:paraId="414D61A5" w14:textId="77777777" w:rsidR="00857FE0" w:rsidRPr="00893921" w:rsidRDefault="00857FE0" w:rsidP="001025F1">
      <w:pPr>
        <w:pStyle w:val="NormalWeb"/>
        <w:ind w:left="480" w:hanging="480"/>
        <w:divId w:val="1804535920"/>
        <w:rPr>
          <w:rFonts w:ascii="Arial" w:hAnsi="Arial" w:cs="Arial"/>
          <w:sz w:val="20"/>
          <w:szCs w:val="20"/>
          <w:lang w:val="en-US"/>
        </w:rPr>
      </w:pPr>
    </w:p>
    <w:sectPr w:rsidR="00857FE0" w:rsidRPr="00893921" w:rsidSect="00BB135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61482" w14:textId="77777777" w:rsidR="008946FB" w:rsidRDefault="008946FB" w:rsidP="008C5F59">
      <w:r>
        <w:separator/>
      </w:r>
    </w:p>
  </w:endnote>
  <w:endnote w:type="continuationSeparator" w:id="0">
    <w:p w14:paraId="3FDCEBAA" w14:textId="77777777" w:rsidR="008946FB" w:rsidRDefault="008946FB" w:rsidP="008C5F59">
      <w:r>
        <w:continuationSeparator/>
      </w:r>
    </w:p>
  </w:endnote>
  <w:endnote w:type="continuationNotice" w:id="1">
    <w:p w14:paraId="6E693EDD" w14:textId="77777777" w:rsidR="00E24D5E" w:rsidRDefault="00E24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Bitstream Vera Sans">
    <w:altName w:val="MS Mincho"/>
    <w:charset w:val="80"/>
    <w:family w:val="auto"/>
    <w:pitch w:val="variable"/>
  </w:font>
  <w:font w:name="Arial Unicode MS">
    <w:panose1 w:val="020B0604020202020204"/>
    <w:charset w:val="00"/>
    <w:family w:val="roman"/>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8502" w14:textId="77777777" w:rsidR="008946FB" w:rsidRDefault="008946FB" w:rsidP="008C5F59">
      <w:r>
        <w:separator/>
      </w:r>
    </w:p>
  </w:footnote>
  <w:footnote w:type="continuationSeparator" w:id="0">
    <w:p w14:paraId="5581891A" w14:textId="77777777" w:rsidR="008946FB" w:rsidRDefault="008946FB" w:rsidP="008C5F59">
      <w:r>
        <w:continuationSeparator/>
      </w:r>
    </w:p>
  </w:footnote>
  <w:footnote w:type="continuationNotice" w:id="1">
    <w:p w14:paraId="3755438F" w14:textId="77777777" w:rsidR="00E24D5E" w:rsidRDefault="00E24D5E"/>
  </w:footnote>
  <w:footnote w:id="2">
    <w:p w14:paraId="6941E099" w14:textId="58E6F2AF" w:rsidR="00890E4E" w:rsidRPr="0023688E" w:rsidRDefault="00890E4E" w:rsidP="00DC4F3F">
      <w:pPr>
        <w:pStyle w:val="FootnoteText"/>
        <w:spacing w:after="0"/>
        <w:ind w:left="0" w:firstLine="0"/>
        <w:rPr>
          <w:rFonts w:ascii="Arial" w:hAnsi="Arial" w:cs="Arial"/>
          <w:sz w:val="18"/>
          <w:szCs w:val="18"/>
          <w:lang w:val="es-ES_tradnl"/>
        </w:rPr>
      </w:pPr>
      <w:r w:rsidRPr="0023688E">
        <w:rPr>
          <w:rStyle w:val="FootnoteReference"/>
          <w:rFonts w:ascii="Arial" w:hAnsi="Arial" w:cs="Arial"/>
          <w:sz w:val="18"/>
          <w:szCs w:val="18"/>
          <w:lang w:val="es-ES_tradnl"/>
        </w:rPr>
        <w:footnoteRef/>
      </w:r>
      <w:r w:rsidRPr="0023688E">
        <w:rPr>
          <w:rFonts w:ascii="Arial" w:hAnsi="Arial" w:cs="Arial"/>
          <w:sz w:val="18"/>
          <w:szCs w:val="18"/>
          <w:lang w:val="es-ES_tradnl"/>
        </w:rPr>
        <w:t xml:space="preserve"> </w:t>
      </w:r>
      <w:r w:rsidRPr="0023688E">
        <w:rPr>
          <w:rFonts w:ascii="Arial" w:hAnsi="Arial" w:cs="Arial"/>
          <w:sz w:val="18"/>
          <w:szCs w:val="18"/>
          <w:lang w:val="es-ES_tradnl"/>
        </w:rPr>
        <w:tab/>
        <w:t>Esta sección presenta los antecedentes y descripción del programa, y está basada en el documento de propuesta de préstamo. Por tanto, puede si el lector ya revisó la propuesta de préstamo, puede pasar a la sección II.</w:t>
      </w:r>
    </w:p>
  </w:footnote>
  <w:footnote w:id="3">
    <w:p w14:paraId="7060A985" w14:textId="77777777" w:rsidR="00002BAA" w:rsidRPr="0023688E" w:rsidRDefault="00002BAA" w:rsidP="00DC4F3F">
      <w:pPr>
        <w:pStyle w:val="FootnoteText"/>
        <w:ind w:left="0" w:firstLine="0"/>
        <w:rPr>
          <w:rFonts w:ascii="Arial" w:hAnsi="Arial" w:cs="Arial"/>
          <w:sz w:val="18"/>
          <w:szCs w:val="18"/>
          <w:lang w:val="es-AR"/>
        </w:rPr>
      </w:pPr>
      <w:r w:rsidRPr="0023688E">
        <w:rPr>
          <w:rStyle w:val="FootnoteReference"/>
          <w:rFonts w:ascii="Arial" w:hAnsi="Arial" w:cs="Arial"/>
          <w:sz w:val="18"/>
          <w:szCs w:val="18"/>
        </w:rPr>
        <w:footnoteRef/>
      </w:r>
      <w:r w:rsidRPr="0023688E">
        <w:rPr>
          <w:rFonts w:ascii="Arial" w:hAnsi="Arial" w:cs="Arial"/>
          <w:sz w:val="18"/>
          <w:szCs w:val="18"/>
        </w:rPr>
        <w:t xml:space="preserve"> </w:t>
      </w:r>
      <w:r w:rsidRPr="0023688E">
        <w:rPr>
          <w:rFonts w:ascii="Arial" w:hAnsi="Arial" w:cs="Arial"/>
          <w:sz w:val="18"/>
          <w:szCs w:val="18"/>
        </w:rPr>
        <w:tab/>
      </w:r>
      <w:r w:rsidRPr="0023688E">
        <w:rPr>
          <w:rFonts w:ascii="Arial" w:hAnsi="Arial" w:cs="Arial"/>
          <w:sz w:val="18"/>
          <w:szCs w:val="18"/>
          <w:lang w:val="es-AR"/>
        </w:rPr>
        <w:t xml:space="preserve">Entre 2015 y 2016, 30% de las embarazadas en el ESE peregrinaron en la red de servicios, buscando servicio de parto: </w:t>
      </w:r>
      <w:proofErr w:type="spellStart"/>
      <w:r w:rsidRPr="0023688E">
        <w:rPr>
          <w:rFonts w:ascii="Arial" w:hAnsi="Arial" w:cs="Arial"/>
          <w:sz w:val="18"/>
          <w:szCs w:val="18"/>
          <w:lang w:val="es-AR"/>
        </w:rPr>
        <w:t>Mendes</w:t>
      </w:r>
      <w:proofErr w:type="spellEnd"/>
      <w:r w:rsidRPr="0023688E">
        <w:rPr>
          <w:rFonts w:ascii="Arial" w:hAnsi="Arial" w:cs="Arial"/>
          <w:sz w:val="18"/>
          <w:szCs w:val="18"/>
          <w:lang w:val="es-AR"/>
        </w:rPr>
        <w:t xml:space="preserve"> et al., 2019.</w:t>
      </w:r>
    </w:p>
  </w:footnote>
  <w:footnote w:id="4">
    <w:p w14:paraId="490AE71B" w14:textId="77777777" w:rsidR="00C506B7" w:rsidRPr="0023688E" w:rsidRDefault="00C506B7" w:rsidP="00DC4F3F">
      <w:pPr>
        <w:rPr>
          <w:rFonts w:ascii="Arial" w:hAnsi="Arial" w:cs="Arial"/>
          <w:sz w:val="18"/>
          <w:szCs w:val="18"/>
        </w:rPr>
      </w:pPr>
      <w:r w:rsidRPr="0023688E">
        <w:rPr>
          <w:rStyle w:val="FootnoteReference"/>
          <w:rFonts w:ascii="Arial" w:hAnsi="Arial" w:cs="Arial"/>
          <w:sz w:val="18"/>
          <w:szCs w:val="18"/>
        </w:rPr>
        <w:footnoteRef/>
      </w:r>
      <w:r w:rsidRPr="0023688E">
        <w:rPr>
          <w:rFonts w:ascii="Arial" w:hAnsi="Arial" w:cs="Arial"/>
          <w:sz w:val="18"/>
          <w:szCs w:val="18"/>
        </w:rPr>
        <w:t xml:space="preserve"> La empresa contratada debe proporcionar los equipos informáticos y logísticos, los recursos humanos y los sistemas de información necesarios para gestionar la logística de los medicamentos y materiales médico-hospitalarios.</w:t>
      </w:r>
    </w:p>
  </w:footnote>
  <w:footnote w:id="5">
    <w:p w14:paraId="55BA35DD" w14:textId="77777777" w:rsidR="00C506B7" w:rsidRPr="0023688E" w:rsidRDefault="00C506B7" w:rsidP="00DC4F3F">
      <w:pPr>
        <w:pStyle w:val="FootnoteText"/>
        <w:ind w:left="0" w:firstLine="0"/>
        <w:rPr>
          <w:rFonts w:ascii="Arial" w:hAnsi="Arial" w:cs="Arial"/>
          <w:sz w:val="18"/>
          <w:szCs w:val="18"/>
        </w:rPr>
      </w:pPr>
      <w:r w:rsidRPr="0023688E">
        <w:rPr>
          <w:rStyle w:val="FootnoteReference"/>
          <w:rFonts w:ascii="Arial" w:hAnsi="Arial" w:cs="Arial"/>
          <w:sz w:val="18"/>
          <w:szCs w:val="18"/>
        </w:rPr>
        <w:footnoteRef/>
      </w:r>
      <w:r w:rsidRPr="0023688E">
        <w:rPr>
          <w:rFonts w:ascii="Arial" w:hAnsi="Arial" w:cs="Arial"/>
          <w:sz w:val="18"/>
          <w:szCs w:val="18"/>
        </w:rPr>
        <w:t xml:space="preserve"> Para tener inversiones balanceados, se recomienda inversiones en seis dimensiones: 1) gobernanza y gestión; 2) personas y cultura; 3) infraestructura; 4) </w:t>
      </w:r>
      <w:proofErr w:type="spellStart"/>
      <w:r w:rsidRPr="0023688E">
        <w:rPr>
          <w:rFonts w:ascii="Arial" w:hAnsi="Arial" w:cs="Arial"/>
          <w:sz w:val="18"/>
          <w:szCs w:val="18"/>
        </w:rPr>
        <w:t>infoestuctura</w:t>
      </w:r>
      <w:proofErr w:type="spellEnd"/>
      <w:r w:rsidRPr="0023688E">
        <w:rPr>
          <w:rFonts w:ascii="Arial" w:hAnsi="Arial" w:cs="Arial"/>
          <w:sz w:val="18"/>
          <w:szCs w:val="18"/>
        </w:rPr>
        <w:t xml:space="preserve">; 5) política y practica de salud informada; y 6) aplicaciones y servicios digitales del sector (Bagolle et al., 2022) </w:t>
      </w:r>
    </w:p>
  </w:footnote>
  <w:footnote w:id="6">
    <w:p w14:paraId="7CB3ADD7" w14:textId="15C3A07F" w:rsidR="008517B2" w:rsidRPr="0023688E" w:rsidRDefault="008517B2">
      <w:pPr>
        <w:pStyle w:val="FootnoteText"/>
        <w:rPr>
          <w:rFonts w:ascii="Arial" w:hAnsi="Arial" w:cs="Arial"/>
          <w:sz w:val="18"/>
          <w:szCs w:val="18"/>
        </w:rPr>
      </w:pPr>
      <w:r w:rsidRPr="0023688E">
        <w:rPr>
          <w:rStyle w:val="FootnoteReference"/>
          <w:rFonts w:ascii="Arial" w:hAnsi="Arial" w:cs="Arial"/>
          <w:sz w:val="18"/>
          <w:szCs w:val="18"/>
        </w:rPr>
        <w:footnoteRef/>
      </w:r>
      <w:r w:rsidRPr="0023688E">
        <w:rPr>
          <w:rFonts w:ascii="Arial" w:hAnsi="Arial" w:cs="Arial"/>
          <w:sz w:val="18"/>
          <w:szCs w:val="18"/>
        </w:rPr>
        <w:t xml:space="preserve"> </w:t>
      </w:r>
      <w:r w:rsidR="0023688E">
        <w:rPr>
          <w:rFonts w:ascii="Arial" w:hAnsi="Arial" w:cs="Arial"/>
          <w:sz w:val="18"/>
          <w:szCs w:val="18"/>
        </w:rPr>
        <w:tab/>
      </w:r>
      <w:r w:rsidR="00D22C51" w:rsidRPr="0023688E">
        <w:rPr>
          <w:rFonts w:ascii="Arial" w:hAnsi="Arial" w:cs="Arial"/>
          <w:sz w:val="18"/>
          <w:szCs w:val="18"/>
        </w:rPr>
        <w:t xml:space="preserve">Para fines de esta evaluación, asumimos que el valor descontado de los </w:t>
      </w:r>
      <w:proofErr w:type="spellStart"/>
      <w:r w:rsidR="00D22C51" w:rsidRPr="0023688E">
        <w:rPr>
          <w:rFonts w:ascii="Arial" w:hAnsi="Arial" w:cs="Arial"/>
          <w:sz w:val="18"/>
          <w:szCs w:val="18"/>
        </w:rPr>
        <w:t>AVADs</w:t>
      </w:r>
      <w:proofErr w:type="spellEnd"/>
      <w:r w:rsidR="00D22C51" w:rsidRPr="0023688E">
        <w:rPr>
          <w:rFonts w:ascii="Arial" w:hAnsi="Arial" w:cs="Arial"/>
          <w:sz w:val="18"/>
          <w:szCs w:val="18"/>
        </w:rPr>
        <w:t xml:space="preserve"> es un valor fijo, de forma tal que al aplicar un valor monetario a los </w:t>
      </w:r>
      <w:proofErr w:type="spellStart"/>
      <w:r w:rsidR="00D22C51" w:rsidRPr="0023688E">
        <w:rPr>
          <w:rFonts w:ascii="Arial" w:hAnsi="Arial" w:cs="Arial"/>
          <w:sz w:val="18"/>
          <w:szCs w:val="18"/>
        </w:rPr>
        <w:t>AVADs</w:t>
      </w:r>
      <w:proofErr w:type="spellEnd"/>
      <w:r w:rsidR="00D22C51" w:rsidRPr="0023688E">
        <w:rPr>
          <w:rFonts w:ascii="Arial" w:hAnsi="Arial" w:cs="Arial"/>
          <w:sz w:val="18"/>
          <w:szCs w:val="18"/>
        </w:rPr>
        <w:t xml:space="preserve"> obtenidos por todas las intervenciones, se pueda ajustar el beneficio del programa por una tasa de descuento y poder evaluar la relación costo beneficio de </w:t>
      </w:r>
      <w:proofErr w:type="gramStart"/>
      <w:r w:rsidR="00D22C51" w:rsidRPr="0023688E">
        <w:rPr>
          <w:rFonts w:ascii="Arial" w:hAnsi="Arial" w:cs="Arial"/>
          <w:sz w:val="18"/>
          <w:szCs w:val="18"/>
        </w:rPr>
        <w:t>la misma</w:t>
      </w:r>
      <w:proofErr w:type="gramEnd"/>
      <w:r w:rsidR="00D22C51" w:rsidRPr="0023688E">
        <w:rPr>
          <w:rFonts w:ascii="Arial" w:hAnsi="Arial" w:cs="Arial"/>
          <w:sz w:val="18"/>
          <w:szCs w:val="18"/>
        </w:rPr>
        <w:t>.</w:t>
      </w:r>
    </w:p>
  </w:footnote>
  <w:footnote w:id="7">
    <w:p w14:paraId="0CADBADA" w14:textId="1DADF045" w:rsidR="00CD62A5" w:rsidRPr="0023688E" w:rsidRDefault="00CD62A5">
      <w:pPr>
        <w:pStyle w:val="FootnoteText"/>
        <w:rPr>
          <w:rFonts w:ascii="Arial" w:hAnsi="Arial" w:cs="Arial"/>
          <w:sz w:val="18"/>
          <w:szCs w:val="18"/>
        </w:rPr>
      </w:pPr>
      <w:r w:rsidRPr="0023688E">
        <w:rPr>
          <w:rStyle w:val="FootnoteReference"/>
          <w:rFonts w:ascii="Arial" w:hAnsi="Arial" w:cs="Arial"/>
          <w:sz w:val="18"/>
          <w:szCs w:val="18"/>
        </w:rPr>
        <w:footnoteRef/>
      </w:r>
      <w:r w:rsidRPr="0023688E">
        <w:rPr>
          <w:rFonts w:ascii="Arial" w:hAnsi="Arial" w:cs="Arial"/>
          <w:sz w:val="18"/>
          <w:szCs w:val="18"/>
        </w:rPr>
        <w:t xml:space="preserve"> </w:t>
      </w:r>
      <w:r w:rsidR="004D49A2" w:rsidRPr="0023688E">
        <w:rPr>
          <w:rFonts w:ascii="Arial" w:hAnsi="Arial" w:cs="Arial"/>
          <w:sz w:val="18"/>
          <w:szCs w:val="18"/>
        </w:rPr>
        <w:t>Las intervenciones del componente 2 (Fortalecimiento de la gestión del sistema sanitario) contribuirán principalmente a reforzar las líneas de atención a las enfermedades crónicas. Esta contribución se producirá de dos maneras, la primera es el fortalecimiento de la gestión de los medicamentos (producto 2.1), que garantizará la continuidad del tratamiento farmacológico de los pacientes con enfermedades crónicas. La segunda forma es a través de la sistematización de las líneas de atención (producto 2.6) y la formación de los profesionales para utilizar estas líneas (producto 2.5).</w:t>
      </w:r>
    </w:p>
  </w:footnote>
  <w:footnote w:id="8">
    <w:p w14:paraId="2DF3170F" w14:textId="73F51F8A" w:rsidR="00E51FDC" w:rsidRPr="0023688E" w:rsidRDefault="00E51FDC" w:rsidP="00DC4F3F">
      <w:pPr>
        <w:pStyle w:val="FootnoteText"/>
        <w:ind w:left="0" w:firstLine="0"/>
        <w:rPr>
          <w:rFonts w:ascii="Arial" w:hAnsi="Arial" w:cs="Arial"/>
          <w:sz w:val="18"/>
          <w:szCs w:val="18"/>
        </w:rPr>
      </w:pPr>
      <w:r w:rsidRPr="0023688E">
        <w:rPr>
          <w:rStyle w:val="FootnoteReference"/>
          <w:rFonts w:ascii="Arial" w:hAnsi="Arial" w:cs="Arial"/>
          <w:sz w:val="18"/>
          <w:szCs w:val="18"/>
        </w:rPr>
        <w:footnoteRef/>
      </w:r>
      <w:r w:rsidRPr="0023688E">
        <w:rPr>
          <w:rFonts w:ascii="Arial" w:hAnsi="Arial" w:cs="Arial"/>
          <w:sz w:val="18"/>
          <w:szCs w:val="18"/>
        </w:rPr>
        <w:t xml:space="preserve"> Para identificar la población con seguro privado, se utilizó los datos de beneficios por municipios de la Agencia Nacional de Salud Suplementaria de Brasil (</w:t>
      </w:r>
      <w:hyperlink r:id="rId1" w:history="1">
        <w:r w:rsidR="0041560F" w:rsidRPr="0023688E">
          <w:rPr>
            <w:rStyle w:val="Hyperlink"/>
            <w:rFonts w:ascii="Arial" w:hAnsi="Arial" w:cs="Arial"/>
            <w:sz w:val="18"/>
            <w:szCs w:val="18"/>
          </w:rPr>
          <w:t>https://www.gov.br/ans/pt-br/acesso-a-informacao/perfil-do-setor/dados-e-indicadores-do-setor</w:t>
        </w:r>
      </w:hyperlink>
      <w:r w:rsidRPr="0023688E">
        <w:rPr>
          <w:rFonts w:ascii="Arial" w:hAnsi="Arial" w:cs="Arial"/>
          <w:sz w:val="18"/>
          <w:szCs w:val="18"/>
        </w:rPr>
        <w:t xml:space="preserve">) en </w:t>
      </w:r>
      <w:proofErr w:type="gramStart"/>
      <w:r w:rsidR="0041560F" w:rsidRPr="0023688E">
        <w:rPr>
          <w:rFonts w:ascii="Arial" w:hAnsi="Arial" w:cs="Arial"/>
          <w:sz w:val="18"/>
          <w:szCs w:val="18"/>
        </w:rPr>
        <w:t>Marzo</w:t>
      </w:r>
      <w:proofErr w:type="gramEnd"/>
      <w:r w:rsidRPr="0023688E">
        <w:rPr>
          <w:rFonts w:ascii="Arial" w:hAnsi="Arial" w:cs="Arial"/>
          <w:sz w:val="18"/>
          <w:szCs w:val="18"/>
        </w:rPr>
        <w:t xml:space="preserve"> del 202</w:t>
      </w:r>
      <w:r w:rsidR="0041560F" w:rsidRPr="0023688E">
        <w:rPr>
          <w:rFonts w:ascii="Arial" w:hAnsi="Arial" w:cs="Arial"/>
          <w:sz w:val="18"/>
          <w:szCs w:val="18"/>
        </w:rPr>
        <w:t>2</w:t>
      </w:r>
      <w:r w:rsidRPr="0023688E">
        <w:rPr>
          <w:rFonts w:ascii="Arial" w:hAnsi="Arial" w:cs="Arial"/>
          <w:sz w:val="18"/>
          <w:szCs w:val="18"/>
        </w:rPr>
        <w:t>. Es importante tener en cuenta que estos datos varían trimestralmente</w:t>
      </w:r>
      <w:r w:rsidR="0041560F" w:rsidRPr="0023688E">
        <w:rPr>
          <w:rFonts w:ascii="Arial" w:hAnsi="Arial" w:cs="Arial"/>
          <w:sz w:val="18"/>
          <w:szCs w:val="18"/>
        </w:rPr>
        <w:t>.</w:t>
      </w:r>
    </w:p>
  </w:footnote>
  <w:footnote w:id="9">
    <w:p w14:paraId="5164FE9F" w14:textId="37D2B021" w:rsidR="00890E4E" w:rsidRPr="0023688E" w:rsidRDefault="00890E4E" w:rsidP="00DC4F3F">
      <w:pPr>
        <w:pStyle w:val="FootnoteText"/>
        <w:spacing w:after="0"/>
        <w:ind w:left="0" w:firstLine="0"/>
        <w:rPr>
          <w:rFonts w:ascii="Arial" w:hAnsi="Arial" w:cs="Arial"/>
          <w:sz w:val="18"/>
          <w:szCs w:val="18"/>
          <w:lang w:val="es-ES_tradnl"/>
        </w:rPr>
      </w:pPr>
      <w:r w:rsidRPr="0023688E">
        <w:rPr>
          <w:rStyle w:val="FootnoteReference"/>
          <w:rFonts w:ascii="Arial" w:hAnsi="Arial" w:cs="Arial"/>
          <w:sz w:val="18"/>
          <w:szCs w:val="18"/>
          <w:lang w:val="es-ES_tradnl"/>
        </w:rPr>
        <w:footnoteRef/>
      </w:r>
      <w:r w:rsidRPr="0023688E">
        <w:rPr>
          <w:rFonts w:ascii="Arial" w:hAnsi="Arial" w:cs="Arial"/>
          <w:sz w:val="18"/>
          <w:szCs w:val="18"/>
          <w:lang w:val="es-ES_tradnl"/>
        </w:rPr>
        <w:t xml:space="preserve"> En el análisis económico se consideran también escenarios con tasas de 2%, 6% y 9%.</w:t>
      </w:r>
    </w:p>
  </w:footnote>
  <w:footnote w:id="10">
    <w:p w14:paraId="78BC73CC" w14:textId="28BBC32C" w:rsidR="004C78A0" w:rsidRPr="0023688E" w:rsidRDefault="004C78A0" w:rsidP="00DC4F3F">
      <w:pPr>
        <w:pStyle w:val="EndnoteText"/>
        <w:rPr>
          <w:rFonts w:ascii="Arial" w:hAnsi="Arial" w:cs="Arial"/>
          <w:sz w:val="18"/>
          <w:szCs w:val="18"/>
        </w:rPr>
      </w:pPr>
      <w:r w:rsidRPr="0023688E">
        <w:rPr>
          <w:rStyle w:val="FootnoteReference"/>
          <w:rFonts w:ascii="Arial" w:hAnsi="Arial" w:cs="Arial"/>
          <w:sz w:val="18"/>
          <w:szCs w:val="18"/>
        </w:rPr>
        <w:footnoteRef/>
      </w:r>
      <w:r w:rsidRPr="0023688E">
        <w:rPr>
          <w:rFonts w:ascii="Arial" w:hAnsi="Arial" w:cs="Arial"/>
          <w:sz w:val="18"/>
          <w:szCs w:val="18"/>
        </w:rPr>
        <w:t xml:space="preserve"> La Organización Mundial de Salud recomienda una tasa de descuento de 2% para proyectos de salud. La tasa de 3% fue validada con SPD y está en uso en todos los proyectos de salud del Banco.</w:t>
      </w:r>
    </w:p>
  </w:footnote>
  <w:footnote w:id="11">
    <w:p w14:paraId="5AD595D7" w14:textId="77777777" w:rsidR="00FC5189" w:rsidRPr="0023688E" w:rsidRDefault="00FC5189" w:rsidP="00DC4F3F">
      <w:pPr>
        <w:pStyle w:val="FootnoteText"/>
        <w:spacing w:after="0"/>
        <w:ind w:left="0" w:firstLine="0"/>
        <w:rPr>
          <w:rFonts w:ascii="Arial" w:hAnsi="Arial" w:cs="Arial"/>
          <w:sz w:val="18"/>
          <w:szCs w:val="18"/>
          <w:lang w:val="es-ES_tradnl"/>
        </w:rPr>
      </w:pPr>
      <w:r w:rsidRPr="0023688E">
        <w:rPr>
          <w:rStyle w:val="FootnoteReference"/>
          <w:rFonts w:ascii="Arial" w:hAnsi="Arial" w:cs="Arial"/>
          <w:sz w:val="18"/>
          <w:szCs w:val="18"/>
          <w:lang w:val="es-ES_tradnl"/>
        </w:rPr>
        <w:footnoteRef/>
      </w:r>
      <w:r w:rsidRPr="0023688E">
        <w:rPr>
          <w:rFonts w:ascii="Arial" w:hAnsi="Arial" w:cs="Arial"/>
          <w:sz w:val="18"/>
          <w:szCs w:val="18"/>
          <w:lang w:val="es-ES_tradnl"/>
        </w:rPr>
        <w:t xml:space="preserve"> </w:t>
      </w:r>
      <w:r w:rsidRPr="0023688E">
        <w:rPr>
          <w:rFonts w:ascii="Arial" w:hAnsi="Arial" w:cs="Arial"/>
          <w:sz w:val="18"/>
          <w:szCs w:val="18"/>
          <w:lang w:val="es-ES_tradnl"/>
        </w:rPr>
        <w:tab/>
        <w:t>En el análisis económico se consideran también escenarios con tasas de 2%, 6% y 9%.</w:t>
      </w:r>
    </w:p>
  </w:footnote>
  <w:footnote w:id="12">
    <w:p w14:paraId="55F8A9C9" w14:textId="77777777" w:rsidR="00802DFC" w:rsidRPr="00253AD7" w:rsidRDefault="00802DFC" w:rsidP="00802DFC">
      <w:pPr>
        <w:pStyle w:val="FootnoteText"/>
        <w:tabs>
          <w:tab w:val="left" w:pos="270"/>
        </w:tabs>
        <w:rPr>
          <w:rFonts w:ascii="Arial" w:hAnsi="Arial" w:cs="Arial"/>
          <w:sz w:val="18"/>
          <w:szCs w:val="18"/>
        </w:rPr>
      </w:pPr>
      <w:r w:rsidRPr="00253AD7">
        <w:rPr>
          <w:rStyle w:val="FootnoteReference"/>
          <w:rFonts w:ascii="Arial" w:hAnsi="Arial" w:cs="Arial"/>
          <w:sz w:val="18"/>
          <w:szCs w:val="18"/>
        </w:rPr>
        <w:footnoteRef/>
      </w:r>
      <w:r w:rsidRPr="00253AD7">
        <w:rPr>
          <w:rFonts w:ascii="Arial" w:hAnsi="Arial" w:cs="Arial"/>
          <w:sz w:val="18"/>
          <w:szCs w:val="18"/>
        </w:rPr>
        <w:t xml:space="preserve"> </w:t>
      </w:r>
      <w:r>
        <w:rPr>
          <w:rFonts w:ascii="Arial" w:hAnsi="Arial" w:cs="Arial"/>
          <w:sz w:val="18"/>
          <w:szCs w:val="18"/>
        </w:rPr>
        <w:tab/>
      </w:r>
      <w:r w:rsidRPr="00253AD7">
        <w:rPr>
          <w:rFonts w:ascii="Arial" w:hAnsi="Arial" w:cs="Arial"/>
          <w:sz w:val="18"/>
          <w:szCs w:val="18"/>
        </w:rPr>
        <w:t>Detallamos los indicadores de ACV y DM por sexo, siguiendo la recomendación del EE#5 Anexo de Género y Diversidad.</w:t>
      </w:r>
    </w:p>
  </w:footnote>
  <w:footnote w:id="13">
    <w:p w14:paraId="272E440E" w14:textId="77777777" w:rsidR="00EE25C0" w:rsidRPr="00586980" w:rsidRDefault="00EE25C0" w:rsidP="00EE25C0">
      <w:pPr>
        <w:pStyle w:val="FootnoteText"/>
        <w:tabs>
          <w:tab w:val="left" w:pos="270"/>
        </w:tabs>
        <w:ind w:hanging="18"/>
        <w:rPr>
          <w:rFonts w:ascii="Arial" w:hAnsi="Arial" w:cs="Arial"/>
          <w:sz w:val="18"/>
          <w:szCs w:val="18"/>
          <w:lang w:val="pt-BR"/>
        </w:rPr>
      </w:pPr>
      <w:r w:rsidRPr="00586980">
        <w:rPr>
          <w:rStyle w:val="FootnoteReference"/>
          <w:rFonts w:ascii="Arial" w:hAnsi="Arial" w:cs="Arial"/>
          <w:sz w:val="18"/>
          <w:szCs w:val="18"/>
        </w:rPr>
        <w:footnoteRef/>
      </w:r>
      <w:r w:rsidRPr="00586980">
        <w:rPr>
          <w:rFonts w:ascii="Arial" w:hAnsi="Arial" w:cs="Arial"/>
          <w:sz w:val="18"/>
          <w:szCs w:val="18"/>
        </w:rPr>
        <w:t xml:space="preserve"> </w:t>
      </w:r>
      <w:r>
        <w:rPr>
          <w:rFonts w:ascii="Arial" w:hAnsi="Arial" w:cs="Arial"/>
          <w:sz w:val="18"/>
          <w:szCs w:val="18"/>
        </w:rPr>
        <w:tab/>
      </w:r>
      <w:r w:rsidRPr="00586980">
        <w:rPr>
          <w:rFonts w:ascii="Arial" w:hAnsi="Arial" w:cs="Arial"/>
          <w:sz w:val="18"/>
          <w:szCs w:val="18"/>
          <w:lang w:val="pt-BR"/>
        </w:rPr>
        <w:t xml:space="preserve">Indicador CRF </w:t>
      </w:r>
      <w:r w:rsidRPr="00E91081">
        <w:rPr>
          <w:rFonts w:ascii="Arial" w:hAnsi="Arial" w:cs="Arial"/>
          <w:i/>
          <w:iCs/>
          <w:sz w:val="18"/>
          <w:szCs w:val="18"/>
          <w:lang w:val="pt-BR"/>
        </w:rPr>
        <w:t xml:space="preserve">(Corporate </w:t>
      </w:r>
      <w:proofErr w:type="spellStart"/>
      <w:r w:rsidRPr="00E91081">
        <w:rPr>
          <w:rFonts w:ascii="Arial" w:hAnsi="Arial" w:cs="Arial"/>
          <w:i/>
          <w:iCs/>
          <w:sz w:val="18"/>
          <w:szCs w:val="18"/>
          <w:lang w:val="pt-BR"/>
        </w:rPr>
        <w:t>Results</w:t>
      </w:r>
      <w:proofErr w:type="spellEnd"/>
      <w:r w:rsidRPr="00E91081">
        <w:rPr>
          <w:rFonts w:ascii="Arial" w:hAnsi="Arial" w:cs="Arial"/>
          <w:i/>
          <w:iCs/>
          <w:sz w:val="18"/>
          <w:szCs w:val="18"/>
          <w:lang w:val="pt-BR"/>
        </w:rPr>
        <w:t xml:space="preserve"> Framework)</w:t>
      </w:r>
      <w:r>
        <w:rPr>
          <w:rFonts w:ascii="Arial" w:hAnsi="Arial" w:cs="Arial"/>
          <w:i/>
          <w:iCs/>
          <w:sz w:val="18"/>
          <w:szCs w:val="18"/>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A15C" w14:textId="51AC9925" w:rsidR="00890E4E" w:rsidRPr="006F6F71" w:rsidRDefault="00890E4E" w:rsidP="00F87B80">
    <w:pPr>
      <w:tabs>
        <w:tab w:val="center" w:pos="4680"/>
        <w:tab w:val="right" w:pos="9360"/>
      </w:tabs>
      <w:jc w:val="right"/>
      <w:rPr>
        <w:rFonts w:ascii="Arial" w:hAnsi="Arial" w:cs="Arial"/>
        <w:sz w:val="18"/>
        <w:szCs w:val="18"/>
        <w:lang w:val="es-ES"/>
      </w:rPr>
    </w:pPr>
    <w:r w:rsidRPr="006F6F71">
      <w:rPr>
        <w:rFonts w:ascii="Arial" w:hAnsi="Arial" w:cs="Arial"/>
        <w:sz w:val="18"/>
        <w:szCs w:val="18"/>
        <w:lang w:val="es-ES"/>
      </w:rPr>
      <w:t>E</w:t>
    </w:r>
    <w:r>
      <w:rPr>
        <w:rFonts w:ascii="Arial" w:hAnsi="Arial" w:cs="Arial"/>
        <w:sz w:val="18"/>
        <w:szCs w:val="18"/>
        <w:lang w:val="es-ES"/>
      </w:rPr>
      <w:t>E#</w:t>
    </w:r>
    <w:r w:rsidR="008514B9">
      <w:rPr>
        <w:rFonts w:ascii="Arial" w:hAnsi="Arial" w:cs="Arial"/>
        <w:sz w:val="18"/>
        <w:szCs w:val="18"/>
        <w:lang w:val="es-ES"/>
      </w:rPr>
      <w:t>4</w:t>
    </w:r>
    <w:r>
      <w:rPr>
        <w:rFonts w:ascii="Arial" w:hAnsi="Arial" w:cs="Arial"/>
        <w:sz w:val="18"/>
        <w:szCs w:val="18"/>
        <w:lang w:val="es-ES"/>
      </w:rPr>
      <w:t>-</w:t>
    </w:r>
    <w:r w:rsidRPr="00CC7968">
      <w:rPr>
        <w:rFonts w:ascii="Arial" w:hAnsi="Arial" w:cs="Arial"/>
        <w:sz w:val="18"/>
        <w:szCs w:val="18"/>
        <w:lang w:val="es-ES"/>
      </w:rPr>
      <w:t xml:space="preserve"> </w:t>
    </w:r>
    <w:r>
      <w:rPr>
        <w:rFonts w:ascii="Arial" w:hAnsi="Arial" w:cs="Arial"/>
        <w:sz w:val="18"/>
        <w:szCs w:val="18"/>
        <w:lang w:val="es-ES"/>
      </w:rPr>
      <w:t>BR-L15</w:t>
    </w:r>
    <w:r w:rsidR="00F87B80">
      <w:rPr>
        <w:rFonts w:ascii="Arial" w:hAnsi="Arial" w:cs="Arial"/>
        <w:sz w:val="18"/>
        <w:szCs w:val="18"/>
        <w:lang w:val="es-ES"/>
      </w:rPr>
      <w:t>83</w:t>
    </w:r>
  </w:p>
  <w:p w14:paraId="2E52FD45" w14:textId="4C19D829" w:rsidR="00890E4E" w:rsidRPr="006F6F71" w:rsidRDefault="00890E4E" w:rsidP="00F87B80">
    <w:pPr>
      <w:tabs>
        <w:tab w:val="center" w:pos="4680"/>
        <w:tab w:val="right" w:pos="9360"/>
      </w:tabs>
      <w:jc w:val="right"/>
      <w:rPr>
        <w:rFonts w:ascii="Arial" w:hAnsi="Arial" w:cs="Arial"/>
        <w:lang w:val="es-ES"/>
      </w:rPr>
    </w:pPr>
    <w:r w:rsidRPr="006F6F71">
      <w:rPr>
        <w:rFonts w:ascii="Arial" w:hAnsi="Arial" w:cs="Arial"/>
        <w:sz w:val="18"/>
        <w:szCs w:val="18"/>
        <w:lang w:val="es-ES"/>
      </w:rPr>
      <w:t xml:space="preserve">Página </w:t>
    </w:r>
    <w:r w:rsidRPr="006F6F71">
      <w:rPr>
        <w:rFonts w:ascii="Arial" w:hAnsi="Arial" w:cs="Arial"/>
        <w:bCs/>
        <w:sz w:val="18"/>
        <w:szCs w:val="18"/>
        <w:lang w:val="es-ES"/>
      </w:rPr>
      <w:fldChar w:fldCharType="begin"/>
    </w:r>
    <w:r w:rsidRPr="006F6F71">
      <w:rPr>
        <w:rFonts w:ascii="Arial" w:hAnsi="Arial" w:cs="Arial"/>
        <w:bCs/>
        <w:sz w:val="18"/>
        <w:szCs w:val="18"/>
        <w:lang w:val="es-ES"/>
      </w:rPr>
      <w:instrText xml:space="preserve"> PAGE </w:instrText>
    </w:r>
    <w:r w:rsidRPr="006F6F71">
      <w:rPr>
        <w:rFonts w:ascii="Arial" w:hAnsi="Arial" w:cs="Arial"/>
        <w:bCs/>
        <w:sz w:val="18"/>
        <w:szCs w:val="18"/>
        <w:lang w:val="es-ES"/>
      </w:rPr>
      <w:fldChar w:fldCharType="separate"/>
    </w:r>
    <w:r>
      <w:rPr>
        <w:rFonts w:ascii="Arial" w:hAnsi="Arial" w:cs="Arial"/>
        <w:bCs/>
        <w:noProof/>
        <w:sz w:val="18"/>
        <w:szCs w:val="18"/>
        <w:lang w:val="es-ES"/>
      </w:rPr>
      <w:t>10</w:t>
    </w:r>
    <w:r w:rsidRPr="006F6F71">
      <w:rPr>
        <w:rFonts w:ascii="Arial" w:hAnsi="Arial" w:cs="Arial"/>
        <w:bCs/>
        <w:sz w:val="18"/>
        <w:szCs w:val="18"/>
        <w:lang w:val="es-ES"/>
      </w:rPr>
      <w:fldChar w:fldCharType="end"/>
    </w:r>
    <w:r w:rsidRPr="006F6F71">
      <w:rPr>
        <w:rFonts w:ascii="Arial" w:hAnsi="Arial" w:cs="Arial"/>
        <w:sz w:val="18"/>
        <w:szCs w:val="18"/>
        <w:lang w:val="es-ES"/>
      </w:rPr>
      <w:t xml:space="preserve"> de </w:t>
    </w:r>
    <w:r w:rsidR="00BB1350">
      <w:rPr>
        <w:rFonts w:ascii="Arial" w:hAnsi="Arial" w:cs="Arial"/>
        <w:sz w:val="18"/>
        <w:szCs w:val="18"/>
        <w:lang w:val="es-ES"/>
      </w:rPr>
      <w:t>30</w:t>
    </w:r>
  </w:p>
  <w:p w14:paraId="40CB1868" w14:textId="77777777" w:rsidR="00890E4E" w:rsidRPr="006F6F71" w:rsidRDefault="00890E4E" w:rsidP="00F87B80">
    <w:pPr>
      <w:pStyle w:val="Header"/>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E637" w14:textId="40DEB86F" w:rsidR="00890E4E" w:rsidRPr="00C23C79" w:rsidRDefault="00890E4E" w:rsidP="00890E4E">
    <w:pPr>
      <w:tabs>
        <w:tab w:val="center" w:pos="4680"/>
        <w:tab w:val="right" w:pos="9360"/>
      </w:tabs>
      <w:jc w:val="right"/>
      <w:rPr>
        <w:rFonts w:ascii="Arial" w:hAnsi="Arial" w:cs="Arial"/>
        <w:sz w:val="18"/>
        <w:szCs w:val="18"/>
        <w:lang w:val="es-ES"/>
      </w:rPr>
    </w:pPr>
    <w:r w:rsidRPr="00C23C79">
      <w:rPr>
        <w:rFonts w:ascii="Arial" w:hAnsi="Arial" w:cs="Arial"/>
        <w:sz w:val="18"/>
        <w:szCs w:val="18"/>
        <w:lang w:val="es-ES"/>
      </w:rPr>
      <w:t>E</w:t>
    </w:r>
    <w:r>
      <w:rPr>
        <w:rFonts w:ascii="Arial" w:hAnsi="Arial" w:cs="Arial"/>
        <w:sz w:val="18"/>
        <w:szCs w:val="18"/>
        <w:lang w:val="es-ES"/>
      </w:rPr>
      <w:t>E#</w:t>
    </w:r>
    <w:r w:rsidR="009B1839">
      <w:rPr>
        <w:rFonts w:ascii="Arial" w:hAnsi="Arial" w:cs="Arial"/>
        <w:sz w:val="18"/>
        <w:szCs w:val="18"/>
        <w:lang w:val="es-ES"/>
      </w:rPr>
      <w:t>4</w:t>
    </w:r>
    <w:r w:rsidR="002C5041">
      <w:rPr>
        <w:rFonts w:ascii="Arial" w:hAnsi="Arial" w:cs="Arial"/>
        <w:sz w:val="18"/>
        <w:szCs w:val="18"/>
        <w:lang w:val="es-ES"/>
      </w:rPr>
      <w:t xml:space="preserve"> – B</w:t>
    </w:r>
    <w:r>
      <w:rPr>
        <w:rFonts w:ascii="Arial" w:hAnsi="Arial" w:cs="Arial"/>
        <w:sz w:val="18"/>
        <w:szCs w:val="18"/>
        <w:lang w:val="es-ES"/>
      </w:rPr>
      <w:t>R-L15</w:t>
    </w:r>
    <w:r w:rsidR="003B57D0">
      <w:rPr>
        <w:rFonts w:ascii="Arial" w:hAnsi="Arial" w:cs="Arial"/>
        <w:sz w:val="18"/>
        <w:szCs w:val="18"/>
        <w:lang w:val="es-ES"/>
      </w:rPr>
      <w:t>83</w:t>
    </w:r>
  </w:p>
  <w:p w14:paraId="3EA3B914" w14:textId="10C8AA02" w:rsidR="00890E4E" w:rsidRDefault="00890E4E" w:rsidP="00890E4E">
    <w:pPr>
      <w:tabs>
        <w:tab w:val="center" w:pos="4680"/>
        <w:tab w:val="right" w:pos="9360"/>
      </w:tabs>
      <w:jc w:val="right"/>
      <w:rPr>
        <w:rFonts w:ascii="Arial" w:hAnsi="Arial" w:cs="Arial"/>
        <w:sz w:val="18"/>
        <w:szCs w:val="18"/>
        <w:lang w:val="es-ES"/>
      </w:rPr>
    </w:pPr>
    <w:r w:rsidRPr="00C23C79">
      <w:rPr>
        <w:rFonts w:ascii="Arial" w:hAnsi="Arial" w:cs="Arial"/>
        <w:sz w:val="18"/>
        <w:szCs w:val="18"/>
        <w:lang w:val="es-ES"/>
      </w:rPr>
      <w:t xml:space="preserve">Página </w:t>
    </w:r>
    <w:r w:rsidRPr="00C23C79">
      <w:rPr>
        <w:rFonts w:ascii="Arial" w:hAnsi="Arial" w:cs="Arial"/>
        <w:bCs/>
        <w:sz w:val="18"/>
        <w:szCs w:val="18"/>
        <w:lang w:val="es-ES"/>
      </w:rPr>
      <w:fldChar w:fldCharType="begin"/>
    </w:r>
    <w:r w:rsidRPr="00C23C79">
      <w:rPr>
        <w:rFonts w:ascii="Arial" w:hAnsi="Arial" w:cs="Arial"/>
        <w:bCs/>
        <w:sz w:val="18"/>
        <w:szCs w:val="18"/>
        <w:lang w:val="es-ES"/>
      </w:rPr>
      <w:instrText xml:space="preserve"> PAGE </w:instrText>
    </w:r>
    <w:r w:rsidRPr="00C23C79">
      <w:rPr>
        <w:rFonts w:ascii="Arial" w:hAnsi="Arial" w:cs="Arial"/>
        <w:bCs/>
        <w:sz w:val="18"/>
        <w:szCs w:val="18"/>
        <w:lang w:val="es-ES"/>
      </w:rPr>
      <w:fldChar w:fldCharType="separate"/>
    </w:r>
    <w:r>
      <w:rPr>
        <w:rFonts w:ascii="Arial" w:hAnsi="Arial" w:cs="Arial"/>
        <w:bCs/>
        <w:noProof/>
        <w:sz w:val="18"/>
        <w:szCs w:val="18"/>
        <w:lang w:val="es-ES"/>
      </w:rPr>
      <w:t>9</w:t>
    </w:r>
    <w:r w:rsidRPr="00C23C79">
      <w:rPr>
        <w:rFonts w:ascii="Arial" w:hAnsi="Arial" w:cs="Arial"/>
        <w:bCs/>
        <w:sz w:val="18"/>
        <w:szCs w:val="18"/>
        <w:lang w:val="es-ES"/>
      </w:rPr>
      <w:fldChar w:fldCharType="end"/>
    </w:r>
    <w:r w:rsidRPr="00C23C79">
      <w:rPr>
        <w:rFonts w:ascii="Arial" w:hAnsi="Arial" w:cs="Arial"/>
        <w:sz w:val="18"/>
        <w:szCs w:val="18"/>
        <w:lang w:val="es-ES"/>
      </w:rPr>
      <w:t xml:space="preserve"> de </w:t>
    </w:r>
    <w:r w:rsidR="00261D59">
      <w:rPr>
        <w:rFonts w:ascii="Arial" w:hAnsi="Arial" w:cs="Arial"/>
        <w:sz w:val="18"/>
        <w:szCs w:val="18"/>
        <w:lang w:val="es-ES"/>
      </w:rPr>
      <w:t>2</w:t>
    </w:r>
    <w:r w:rsidR="00D96FCA">
      <w:rPr>
        <w:rFonts w:ascii="Arial" w:hAnsi="Arial" w:cs="Arial"/>
        <w:sz w:val="18"/>
        <w:szCs w:val="18"/>
        <w:lang w:val="es-ES"/>
      </w:rPr>
      <w:t>7</w:t>
    </w:r>
  </w:p>
  <w:p w14:paraId="7D2ED6E1" w14:textId="77777777" w:rsidR="00697E1A" w:rsidRPr="00C23C79" w:rsidRDefault="00697E1A" w:rsidP="00890E4E">
    <w:pPr>
      <w:tabs>
        <w:tab w:val="center" w:pos="4680"/>
        <w:tab w:val="right" w:pos="9360"/>
      </w:tabs>
      <w:jc w:val="right"/>
      <w:rPr>
        <w:rFonts w:ascii="Arial" w:hAnsi="Arial" w:cs="Arial"/>
        <w:lang w:val="es-ES"/>
      </w:rPr>
    </w:pPr>
  </w:p>
  <w:p w14:paraId="29FFF9BA" w14:textId="77777777" w:rsidR="00890E4E" w:rsidRPr="005867C5" w:rsidRDefault="00890E4E">
    <w:pPr>
      <w:pStyle w:val="Header"/>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D97C" w14:textId="13C7009A" w:rsidR="00890E4E" w:rsidRPr="00890E4E" w:rsidRDefault="00890E4E" w:rsidP="00890E4E">
    <w:pPr>
      <w:pStyle w:val="Header"/>
      <w:jc w:val="center"/>
      <w:rPr>
        <w:rFonts w:ascii="Arial" w:hAnsi="Arial" w:cs="Arial"/>
        <w:sz w:val="18"/>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3242" w14:textId="2BD4B789" w:rsidR="00BB1350" w:rsidRPr="006F6F71" w:rsidRDefault="00BB1350" w:rsidP="00BB1350">
    <w:pPr>
      <w:tabs>
        <w:tab w:val="center" w:pos="4680"/>
        <w:tab w:val="right" w:pos="9360"/>
      </w:tabs>
      <w:jc w:val="right"/>
      <w:rPr>
        <w:rFonts w:ascii="Arial" w:hAnsi="Arial" w:cs="Arial"/>
        <w:sz w:val="18"/>
        <w:szCs w:val="18"/>
        <w:lang w:val="es-ES"/>
      </w:rPr>
    </w:pPr>
    <w:r w:rsidRPr="006F6F71">
      <w:rPr>
        <w:rFonts w:ascii="Arial" w:hAnsi="Arial" w:cs="Arial"/>
        <w:sz w:val="18"/>
        <w:szCs w:val="18"/>
        <w:lang w:val="es-ES"/>
      </w:rPr>
      <w:t>E</w:t>
    </w:r>
    <w:r>
      <w:rPr>
        <w:rFonts w:ascii="Arial" w:hAnsi="Arial" w:cs="Arial"/>
        <w:sz w:val="18"/>
        <w:szCs w:val="18"/>
        <w:lang w:val="es-ES"/>
      </w:rPr>
      <w:t>E#4-</w:t>
    </w:r>
    <w:r w:rsidRPr="00CC7968">
      <w:rPr>
        <w:rFonts w:ascii="Arial" w:hAnsi="Arial" w:cs="Arial"/>
        <w:sz w:val="18"/>
        <w:szCs w:val="18"/>
        <w:lang w:val="es-ES"/>
      </w:rPr>
      <w:t xml:space="preserve"> </w:t>
    </w:r>
    <w:r>
      <w:rPr>
        <w:rFonts w:ascii="Arial" w:hAnsi="Arial" w:cs="Arial"/>
        <w:sz w:val="18"/>
        <w:szCs w:val="18"/>
        <w:lang w:val="es-ES"/>
      </w:rPr>
      <w:t>BR-L1583</w:t>
    </w:r>
  </w:p>
  <w:p w14:paraId="1BECCD4B" w14:textId="046A59CD" w:rsidR="00BB1350" w:rsidRPr="006F6F71" w:rsidRDefault="00BB1350" w:rsidP="00BB1350">
    <w:pPr>
      <w:tabs>
        <w:tab w:val="center" w:pos="4680"/>
        <w:tab w:val="right" w:pos="9360"/>
      </w:tabs>
      <w:jc w:val="right"/>
      <w:rPr>
        <w:rFonts w:ascii="Arial" w:hAnsi="Arial" w:cs="Arial"/>
        <w:lang w:val="es-ES"/>
      </w:rPr>
    </w:pPr>
    <w:r w:rsidRPr="006F6F71">
      <w:rPr>
        <w:rFonts w:ascii="Arial" w:hAnsi="Arial" w:cs="Arial"/>
        <w:sz w:val="18"/>
        <w:szCs w:val="18"/>
        <w:lang w:val="es-ES"/>
      </w:rPr>
      <w:t xml:space="preserve">Página </w:t>
    </w:r>
    <w:r w:rsidRPr="006F6F71">
      <w:rPr>
        <w:rFonts w:ascii="Arial" w:hAnsi="Arial" w:cs="Arial"/>
        <w:bCs/>
        <w:sz w:val="18"/>
        <w:szCs w:val="18"/>
        <w:lang w:val="es-ES"/>
      </w:rPr>
      <w:fldChar w:fldCharType="begin"/>
    </w:r>
    <w:r w:rsidRPr="006F6F71">
      <w:rPr>
        <w:rFonts w:ascii="Arial" w:hAnsi="Arial" w:cs="Arial"/>
        <w:bCs/>
        <w:sz w:val="18"/>
        <w:szCs w:val="18"/>
        <w:lang w:val="es-ES"/>
      </w:rPr>
      <w:instrText xml:space="preserve"> PAGE </w:instrText>
    </w:r>
    <w:r w:rsidRPr="006F6F71">
      <w:rPr>
        <w:rFonts w:ascii="Arial" w:hAnsi="Arial" w:cs="Arial"/>
        <w:bCs/>
        <w:sz w:val="18"/>
        <w:szCs w:val="18"/>
        <w:lang w:val="es-ES"/>
      </w:rPr>
      <w:fldChar w:fldCharType="separate"/>
    </w:r>
    <w:r>
      <w:rPr>
        <w:rFonts w:ascii="Arial" w:hAnsi="Arial" w:cs="Arial"/>
        <w:bCs/>
        <w:sz w:val="18"/>
        <w:szCs w:val="18"/>
        <w:lang w:val="es-ES"/>
      </w:rPr>
      <w:t>24</w:t>
    </w:r>
    <w:r w:rsidRPr="006F6F71">
      <w:rPr>
        <w:rFonts w:ascii="Arial" w:hAnsi="Arial" w:cs="Arial"/>
        <w:bCs/>
        <w:sz w:val="18"/>
        <w:szCs w:val="18"/>
        <w:lang w:val="es-ES"/>
      </w:rPr>
      <w:fldChar w:fldCharType="end"/>
    </w:r>
    <w:r w:rsidRPr="006F6F71">
      <w:rPr>
        <w:rFonts w:ascii="Arial" w:hAnsi="Arial" w:cs="Arial"/>
        <w:sz w:val="18"/>
        <w:szCs w:val="18"/>
        <w:lang w:val="es-ES"/>
      </w:rPr>
      <w:t xml:space="preserve"> de </w:t>
    </w:r>
    <w:r w:rsidR="008C2B4C">
      <w:rPr>
        <w:rFonts w:ascii="Arial" w:hAnsi="Arial" w:cs="Arial"/>
        <w:sz w:val="18"/>
        <w:szCs w:val="18"/>
        <w:lang w:val="es-ES"/>
      </w:rPr>
      <w:t>30</w:t>
    </w:r>
  </w:p>
  <w:p w14:paraId="7560018E" w14:textId="668C7C60" w:rsidR="00AA2321" w:rsidRPr="00BB1350" w:rsidRDefault="00AA2321" w:rsidP="00890E4E">
    <w:pPr>
      <w:pStyle w:val="Header"/>
      <w:jc w:val="center"/>
      <w:rPr>
        <w:rFonts w:ascii="Arial" w:hAnsi="Arial" w:cs="Arial"/>
        <w:sz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F6E43"/>
    <w:multiLevelType w:val="hybridMultilevel"/>
    <w:tmpl w:val="2D4060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A25EA1"/>
    <w:multiLevelType w:val="hybridMultilevel"/>
    <w:tmpl w:val="2D9293BA"/>
    <w:lvl w:ilvl="0" w:tplc="880EF8CC">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846A81"/>
    <w:multiLevelType w:val="multilevel"/>
    <w:tmpl w:val="330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16959"/>
    <w:multiLevelType w:val="hybridMultilevel"/>
    <w:tmpl w:val="4884828E"/>
    <w:lvl w:ilvl="0" w:tplc="1EBA3CE6">
      <w:start w:val="2"/>
      <w:numFmt w:val="upperLetter"/>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325F0"/>
    <w:multiLevelType w:val="hybridMultilevel"/>
    <w:tmpl w:val="5310231A"/>
    <w:lvl w:ilvl="0" w:tplc="7B2E32DA">
      <w:start w:val="1"/>
      <w:numFmt w:val="decimal"/>
      <w:lvlText w:val="A%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50E5B"/>
    <w:multiLevelType w:val="hybridMultilevel"/>
    <w:tmpl w:val="977ACCE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C5FD8"/>
    <w:multiLevelType w:val="hybridMultilevel"/>
    <w:tmpl w:val="539E3326"/>
    <w:lvl w:ilvl="0" w:tplc="C65E7B94">
      <w:start w:val="1"/>
      <w:numFmt w:val="decimal"/>
      <w:lvlText w:val="%1."/>
      <w:lvlJc w:val="left"/>
      <w:pPr>
        <w:ind w:left="1800" w:hanging="360"/>
      </w:pPr>
      <w:rPr>
        <w:rFonts w:eastAsiaTheme="minorHAns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CA6DE0"/>
    <w:multiLevelType w:val="hybridMultilevel"/>
    <w:tmpl w:val="E1BEF054"/>
    <w:lvl w:ilvl="0" w:tplc="27CC374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9B4991"/>
    <w:multiLevelType w:val="multilevel"/>
    <w:tmpl w:val="10723978"/>
    <w:lvl w:ilvl="0">
      <w:start w:val="1"/>
      <w:numFmt w:val="upperRoman"/>
      <w:lvlRestart w:val="0"/>
      <w:lvlText w:val="%1."/>
      <w:lvlJc w:val="center"/>
      <w:pPr>
        <w:tabs>
          <w:tab w:val="num" w:pos="1800"/>
        </w:tabs>
        <w:ind w:left="1152" w:firstLine="288"/>
      </w:pPr>
      <w:rPr>
        <w:b/>
        <w:i w:val="0"/>
      </w:rPr>
    </w:lvl>
    <w:lvl w:ilvl="1">
      <w:start w:val="1"/>
      <w:numFmt w:val="decimal"/>
      <w:isLgl/>
      <w:lvlText w:val="%1.%2"/>
      <w:lvlJc w:val="left"/>
      <w:pPr>
        <w:tabs>
          <w:tab w:val="num" w:pos="2448"/>
        </w:tabs>
        <w:ind w:left="2448" w:hanging="1296"/>
      </w:pPr>
      <w:rPr>
        <w:rFonts w:ascii="Arial" w:hAnsi="Arial" w:cs="Arial" w:hint="default"/>
        <w:b/>
        <w:color w:val="auto"/>
        <w:sz w:val="22"/>
        <w:szCs w:val="22"/>
      </w:rPr>
    </w:lvl>
    <w:lvl w:ilvl="2">
      <w:start w:val="1"/>
      <w:numFmt w:val="lowerLetter"/>
      <w:lvlText w:val="%3."/>
      <w:lvlJc w:val="left"/>
      <w:pPr>
        <w:tabs>
          <w:tab w:val="num" w:pos="2304"/>
        </w:tabs>
        <w:ind w:left="2304" w:hanging="432"/>
      </w:pPr>
    </w:lvl>
    <w:lvl w:ilvl="3">
      <w:start w:val="1"/>
      <w:numFmt w:val="lowerRoman"/>
      <w:lvlText w:val="%4."/>
      <w:lvlJc w:val="right"/>
      <w:pPr>
        <w:tabs>
          <w:tab w:val="num" w:pos="2736"/>
        </w:tabs>
        <w:ind w:left="2736" w:hanging="288"/>
      </w:pPr>
    </w:lvl>
    <w:lvl w:ilvl="4">
      <w:start w:val="1"/>
      <w:numFmt w:val="decimal"/>
      <w:lvlText w:val="%1.%2.%3.%4.%5"/>
      <w:lvlJc w:val="left"/>
      <w:pPr>
        <w:ind w:left="2160" w:hanging="1008"/>
      </w:pPr>
    </w:lvl>
    <w:lvl w:ilvl="5">
      <w:start w:val="1"/>
      <w:numFmt w:val="decimal"/>
      <w:lvlText w:val="%1.%2.%3.%4.%5.%6"/>
      <w:lvlJc w:val="left"/>
      <w:pPr>
        <w:ind w:left="2304" w:hanging="1152"/>
      </w:pPr>
    </w:lvl>
    <w:lvl w:ilvl="6">
      <w:start w:val="1"/>
      <w:numFmt w:val="decimal"/>
      <w:lvlText w:val="%1.%2.%3.%4.%5.%6.%7"/>
      <w:lvlJc w:val="left"/>
      <w:pPr>
        <w:ind w:left="2448" w:hanging="1296"/>
      </w:pPr>
    </w:lvl>
    <w:lvl w:ilvl="7">
      <w:start w:val="1"/>
      <w:numFmt w:val="decimal"/>
      <w:lvlText w:val="%1.%2.%3.%4.%5.%6.%7.%8"/>
      <w:lvlJc w:val="left"/>
      <w:pPr>
        <w:ind w:left="2592" w:hanging="1440"/>
      </w:pPr>
    </w:lvl>
    <w:lvl w:ilvl="8">
      <w:start w:val="1"/>
      <w:numFmt w:val="decimal"/>
      <w:lvlText w:val="%1.%2.%3.%4.%5.%6.%7.%8.%9"/>
      <w:lvlJc w:val="left"/>
      <w:pPr>
        <w:ind w:left="2736" w:hanging="1584"/>
      </w:pPr>
    </w:lvl>
  </w:abstractNum>
  <w:abstractNum w:abstractNumId="10" w15:restartNumberingAfterBreak="0">
    <w:nsid w:val="36423E70"/>
    <w:multiLevelType w:val="hybridMultilevel"/>
    <w:tmpl w:val="2610B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14540"/>
    <w:multiLevelType w:val="hybridMultilevel"/>
    <w:tmpl w:val="10B686A2"/>
    <w:lvl w:ilvl="0" w:tplc="0E563C1A">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CD357B"/>
    <w:multiLevelType w:val="multilevel"/>
    <w:tmpl w:val="9D2C3E18"/>
    <w:lvl w:ilvl="0">
      <w:start w:val="1"/>
      <w:numFmt w:val="decimal"/>
      <w:pStyle w:val="Chapter"/>
      <w:lvlText w:val="%1"/>
      <w:lvlJc w:val="left"/>
      <w:pPr>
        <w:ind w:left="792" w:hanging="432"/>
      </w:pPr>
    </w:lvl>
    <w:lvl w:ilvl="1">
      <w:start w:val="1"/>
      <w:numFmt w:val="decimal"/>
      <w:lvlText w:val="%1.%2"/>
      <w:lvlJc w:val="left"/>
      <w:pPr>
        <w:ind w:left="93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13" w15:restartNumberingAfterBreak="0">
    <w:nsid w:val="454663AB"/>
    <w:multiLevelType w:val="multilevel"/>
    <w:tmpl w:val="41F84902"/>
    <w:lvl w:ilvl="0">
      <w:start w:val="1"/>
      <w:numFmt w:val="decimal"/>
      <w:lvlText w:val="%1."/>
      <w:lvlJc w:val="left"/>
      <w:pPr>
        <w:ind w:left="620" w:hanging="360"/>
      </w:pPr>
      <w:rPr>
        <w:rFonts w:hint="default"/>
      </w:rPr>
    </w:lvl>
    <w:lvl w:ilvl="1">
      <w:start w:val="1"/>
      <w:numFmt w:val="decimal"/>
      <w:isLgl/>
      <w:lvlText w:val="%1.%2"/>
      <w:lvlJc w:val="left"/>
      <w:pPr>
        <w:ind w:left="780" w:hanging="780"/>
      </w:pPr>
      <w:rPr>
        <w:rFonts w:ascii="Arial" w:hAnsi="Arial" w:cs="Arial" w:hint="default"/>
        <w:sz w:val="22"/>
        <w:szCs w:val="22"/>
      </w:rPr>
    </w:lvl>
    <w:lvl w:ilvl="2">
      <w:start w:val="1"/>
      <w:numFmt w:val="decimal"/>
      <w:isLgl/>
      <w:lvlText w:val="%1.%2.%3"/>
      <w:lvlJc w:val="left"/>
      <w:pPr>
        <w:ind w:left="1040" w:hanging="780"/>
      </w:pPr>
      <w:rPr>
        <w:rFonts w:hint="default"/>
      </w:rPr>
    </w:lvl>
    <w:lvl w:ilvl="3">
      <w:start w:val="1"/>
      <w:numFmt w:val="decimal"/>
      <w:isLgl/>
      <w:lvlText w:val="%1.%2.%3.%4"/>
      <w:lvlJc w:val="left"/>
      <w:pPr>
        <w:ind w:left="1340" w:hanging="1080"/>
      </w:pPr>
      <w:rPr>
        <w:rFonts w:hint="default"/>
      </w:rPr>
    </w:lvl>
    <w:lvl w:ilvl="4">
      <w:start w:val="1"/>
      <w:numFmt w:val="decimal"/>
      <w:isLgl/>
      <w:lvlText w:val="%1.%2.%3.%4.%5"/>
      <w:lvlJc w:val="left"/>
      <w:pPr>
        <w:ind w:left="1340" w:hanging="1080"/>
      </w:pPr>
      <w:rPr>
        <w:rFonts w:hint="default"/>
      </w:rPr>
    </w:lvl>
    <w:lvl w:ilvl="5">
      <w:start w:val="1"/>
      <w:numFmt w:val="decimal"/>
      <w:isLgl/>
      <w:lvlText w:val="%1.%2.%3.%4.%5.%6"/>
      <w:lvlJc w:val="left"/>
      <w:pPr>
        <w:ind w:left="1700" w:hanging="1440"/>
      </w:pPr>
      <w:rPr>
        <w:rFonts w:hint="default"/>
      </w:rPr>
    </w:lvl>
    <w:lvl w:ilvl="6">
      <w:start w:val="1"/>
      <w:numFmt w:val="decimal"/>
      <w:isLgl/>
      <w:lvlText w:val="%1.%2.%3.%4.%5.%6.%7"/>
      <w:lvlJc w:val="left"/>
      <w:pPr>
        <w:ind w:left="1700" w:hanging="1440"/>
      </w:pPr>
      <w:rPr>
        <w:rFonts w:hint="default"/>
      </w:rPr>
    </w:lvl>
    <w:lvl w:ilvl="7">
      <w:start w:val="1"/>
      <w:numFmt w:val="decimal"/>
      <w:isLgl/>
      <w:lvlText w:val="%1.%2.%3.%4.%5.%6.%7.%8"/>
      <w:lvlJc w:val="left"/>
      <w:pPr>
        <w:ind w:left="2060" w:hanging="1800"/>
      </w:pPr>
      <w:rPr>
        <w:rFonts w:hint="default"/>
      </w:rPr>
    </w:lvl>
    <w:lvl w:ilvl="8">
      <w:start w:val="1"/>
      <w:numFmt w:val="decimal"/>
      <w:isLgl/>
      <w:lvlText w:val="%1.%2.%3.%4.%5.%6.%7.%8.%9"/>
      <w:lvlJc w:val="left"/>
      <w:pPr>
        <w:ind w:left="2060" w:hanging="1800"/>
      </w:pPr>
      <w:rPr>
        <w:rFonts w:hint="default"/>
      </w:rPr>
    </w:lvl>
  </w:abstractNum>
  <w:abstractNum w:abstractNumId="14" w15:restartNumberingAfterBreak="0">
    <w:nsid w:val="46197F0A"/>
    <w:multiLevelType w:val="hybridMultilevel"/>
    <w:tmpl w:val="31F8706A"/>
    <w:lvl w:ilvl="0" w:tplc="1116D4E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C011038"/>
    <w:multiLevelType w:val="hybridMultilevel"/>
    <w:tmpl w:val="EDD6EA1E"/>
    <w:lvl w:ilvl="0" w:tplc="3F7C00F0">
      <w:start w:val="1"/>
      <w:numFmt w:val="bullet"/>
      <w:lvlText w:val="•"/>
      <w:lvlJc w:val="left"/>
      <w:pPr>
        <w:tabs>
          <w:tab w:val="num" w:pos="720"/>
        </w:tabs>
        <w:ind w:left="720" w:hanging="360"/>
      </w:pPr>
      <w:rPr>
        <w:rFonts w:ascii="Arial" w:hAnsi="Arial" w:hint="default"/>
      </w:rPr>
    </w:lvl>
    <w:lvl w:ilvl="1" w:tplc="35EC251A" w:tentative="1">
      <w:start w:val="1"/>
      <w:numFmt w:val="bullet"/>
      <w:lvlText w:val="•"/>
      <w:lvlJc w:val="left"/>
      <w:pPr>
        <w:tabs>
          <w:tab w:val="num" w:pos="1440"/>
        </w:tabs>
        <w:ind w:left="1440" w:hanging="360"/>
      </w:pPr>
      <w:rPr>
        <w:rFonts w:ascii="Arial" w:hAnsi="Arial" w:hint="default"/>
      </w:rPr>
    </w:lvl>
    <w:lvl w:ilvl="2" w:tplc="9C749E4E" w:tentative="1">
      <w:start w:val="1"/>
      <w:numFmt w:val="bullet"/>
      <w:lvlText w:val="•"/>
      <w:lvlJc w:val="left"/>
      <w:pPr>
        <w:tabs>
          <w:tab w:val="num" w:pos="2160"/>
        </w:tabs>
        <w:ind w:left="2160" w:hanging="360"/>
      </w:pPr>
      <w:rPr>
        <w:rFonts w:ascii="Arial" w:hAnsi="Arial" w:hint="default"/>
      </w:rPr>
    </w:lvl>
    <w:lvl w:ilvl="3" w:tplc="A47EF27E" w:tentative="1">
      <w:start w:val="1"/>
      <w:numFmt w:val="bullet"/>
      <w:lvlText w:val="•"/>
      <w:lvlJc w:val="left"/>
      <w:pPr>
        <w:tabs>
          <w:tab w:val="num" w:pos="2880"/>
        </w:tabs>
        <w:ind w:left="2880" w:hanging="360"/>
      </w:pPr>
      <w:rPr>
        <w:rFonts w:ascii="Arial" w:hAnsi="Arial" w:hint="default"/>
      </w:rPr>
    </w:lvl>
    <w:lvl w:ilvl="4" w:tplc="84C034AC" w:tentative="1">
      <w:start w:val="1"/>
      <w:numFmt w:val="bullet"/>
      <w:lvlText w:val="•"/>
      <w:lvlJc w:val="left"/>
      <w:pPr>
        <w:tabs>
          <w:tab w:val="num" w:pos="3600"/>
        </w:tabs>
        <w:ind w:left="3600" w:hanging="360"/>
      </w:pPr>
      <w:rPr>
        <w:rFonts w:ascii="Arial" w:hAnsi="Arial" w:hint="default"/>
      </w:rPr>
    </w:lvl>
    <w:lvl w:ilvl="5" w:tplc="F8E0678A" w:tentative="1">
      <w:start w:val="1"/>
      <w:numFmt w:val="bullet"/>
      <w:lvlText w:val="•"/>
      <w:lvlJc w:val="left"/>
      <w:pPr>
        <w:tabs>
          <w:tab w:val="num" w:pos="4320"/>
        </w:tabs>
        <w:ind w:left="4320" w:hanging="360"/>
      </w:pPr>
      <w:rPr>
        <w:rFonts w:ascii="Arial" w:hAnsi="Arial" w:hint="default"/>
      </w:rPr>
    </w:lvl>
    <w:lvl w:ilvl="6" w:tplc="A05C9A8C" w:tentative="1">
      <w:start w:val="1"/>
      <w:numFmt w:val="bullet"/>
      <w:lvlText w:val="•"/>
      <w:lvlJc w:val="left"/>
      <w:pPr>
        <w:tabs>
          <w:tab w:val="num" w:pos="5040"/>
        </w:tabs>
        <w:ind w:left="5040" w:hanging="360"/>
      </w:pPr>
      <w:rPr>
        <w:rFonts w:ascii="Arial" w:hAnsi="Arial" w:hint="default"/>
      </w:rPr>
    </w:lvl>
    <w:lvl w:ilvl="7" w:tplc="8B4A1078" w:tentative="1">
      <w:start w:val="1"/>
      <w:numFmt w:val="bullet"/>
      <w:lvlText w:val="•"/>
      <w:lvlJc w:val="left"/>
      <w:pPr>
        <w:tabs>
          <w:tab w:val="num" w:pos="5760"/>
        </w:tabs>
        <w:ind w:left="5760" w:hanging="360"/>
      </w:pPr>
      <w:rPr>
        <w:rFonts w:ascii="Arial" w:hAnsi="Arial" w:hint="default"/>
      </w:rPr>
    </w:lvl>
    <w:lvl w:ilvl="8" w:tplc="0BBA5C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9905A8"/>
    <w:multiLevelType w:val="multilevel"/>
    <w:tmpl w:val="D34A5F94"/>
    <w:lvl w:ilvl="0">
      <w:start w:val="1"/>
      <w:numFmt w:val="upperRoman"/>
      <w:lvlRestart w:val="0"/>
      <w:lvlText w:val="%1."/>
      <w:lvlJc w:val="center"/>
      <w:pPr>
        <w:tabs>
          <w:tab w:val="num" w:pos="1495"/>
        </w:tabs>
        <w:ind w:left="847" w:firstLine="288"/>
      </w:pPr>
      <w:rPr>
        <w:rFonts w:hint="default"/>
        <w:b/>
        <w:i w:val="0"/>
      </w:rPr>
    </w:lvl>
    <w:lvl w:ilvl="1">
      <w:start w:val="1"/>
      <w:numFmt w:val="decimal"/>
      <w:isLgl/>
      <w:lvlText w:val="%1.%2"/>
      <w:lvlJc w:val="left"/>
      <w:pPr>
        <w:tabs>
          <w:tab w:val="num" w:pos="1296"/>
        </w:tabs>
        <w:ind w:left="1296" w:hanging="1296"/>
      </w:pPr>
      <w:rPr>
        <w:rFonts w:hint="default"/>
        <w:b w:val="0"/>
        <w:i w:val="0"/>
        <w:sz w:val="22"/>
        <w:szCs w:val="22"/>
      </w:rPr>
    </w:lvl>
    <w:lvl w:ilvl="2">
      <w:start w:val="1"/>
      <w:numFmt w:val="lowerLetter"/>
      <w:lvlText w:val="%3"/>
      <w:lvlJc w:val="left"/>
      <w:pPr>
        <w:tabs>
          <w:tab w:val="num" w:pos="1152"/>
        </w:tabs>
        <w:ind w:left="1152" w:hanging="432"/>
      </w:pPr>
      <w:rPr>
        <w:rFonts w:ascii="Arial" w:hAnsi="Arial" w:cs="Arial" w:hint="default"/>
        <w:sz w:val="22"/>
        <w:szCs w:val="22"/>
      </w:rPr>
    </w:lvl>
    <w:lvl w:ilvl="3">
      <w:start w:val="1"/>
      <w:numFmt w:val="lowerRoman"/>
      <w:lvlText w:val="%4."/>
      <w:lvlJc w:val="right"/>
      <w:pPr>
        <w:tabs>
          <w:tab w:val="num" w:pos="2736"/>
        </w:tabs>
        <w:ind w:left="2736" w:hanging="288"/>
      </w:pPr>
      <w:rPr>
        <w:rFonts w:hint="default"/>
      </w:rPr>
    </w:lvl>
    <w:lvl w:ilvl="4">
      <w:start w:val="1"/>
      <w:numFmt w:val="none"/>
      <w:lvlText w:val=""/>
      <w:lvlJc w:val="left"/>
      <w:pPr>
        <w:tabs>
          <w:tab w:val="num" w:pos="4392"/>
        </w:tabs>
        <w:ind w:left="4032" w:firstLine="0"/>
      </w:pPr>
      <w:rPr>
        <w:rFonts w:hint="default"/>
      </w:rPr>
    </w:lvl>
    <w:lvl w:ilvl="5">
      <w:start w:val="1"/>
      <w:numFmt w:val="none"/>
      <w:lvlText w:val=""/>
      <w:lvlJc w:val="left"/>
      <w:pPr>
        <w:tabs>
          <w:tab w:val="num" w:pos="5112"/>
        </w:tabs>
        <w:ind w:left="4752" w:firstLine="0"/>
      </w:pPr>
      <w:rPr>
        <w:rFonts w:hint="default"/>
      </w:rPr>
    </w:lvl>
    <w:lvl w:ilvl="6">
      <w:start w:val="1"/>
      <w:numFmt w:val="none"/>
      <w:lvlText w:val=""/>
      <w:lvlJc w:val="left"/>
      <w:pPr>
        <w:tabs>
          <w:tab w:val="num" w:pos="5832"/>
        </w:tabs>
        <w:ind w:left="5472" w:firstLine="0"/>
      </w:pPr>
      <w:rPr>
        <w:rFonts w:hint="default"/>
      </w:rPr>
    </w:lvl>
    <w:lvl w:ilvl="7">
      <w:start w:val="1"/>
      <w:numFmt w:val="none"/>
      <w:lvlText w:val=""/>
      <w:lvlJc w:val="left"/>
      <w:pPr>
        <w:tabs>
          <w:tab w:val="num" w:pos="6552"/>
        </w:tabs>
        <w:ind w:left="6192" w:firstLine="0"/>
      </w:pPr>
      <w:rPr>
        <w:rFonts w:hint="default"/>
      </w:rPr>
    </w:lvl>
    <w:lvl w:ilvl="8">
      <w:start w:val="1"/>
      <w:numFmt w:val="none"/>
      <w:lvlText w:val=""/>
      <w:lvlJc w:val="left"/>
      <w:pPr>
        <w:tabs>
          <w:tab w:val="num" w:pos="7272"/>
        </w:tabs>
        <w:ind w:left="6912" w:firstLine="0"/>
      </w:pPr>
      <w:rPr>
        <w:rFonts w:hint="default"/>
      </w:rPr>
    </w:lvl>
  </w:abstractNum>
  <w:abstractNum w:abstractNumId="17" w15:restartNumberingAfterBreak="0">
    <w:nsid w:val="57FC335B"/>
    <w:multiLevelType w:val="hybridMultilevel"/>
    <w:tmpl w:val="940C3CDC"/>
    <w:lvl w:ilvl="0" w:tplc="0EF6758A">
      <w:start w:val="3"/>
      <w:numFmt w:val="upperRoman"/>
      <w:pStyle w:val="FirstHeading"/>
      <w:lvlText w:val="%1."/>
      <w:lvlJc w:val="righ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B37CBC"/>
    <w:multiLevelType w:val="hybridMultilevel"/>
    <w:tmpl w:val="FDAEA54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FED7095"/>
    <w:multiLevelType w:val="multilevel"/>
    <w:tmpl w:val="E1F27E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52254">
    <w:abstractNumId w:val="17"/>
  </w:num>
  <w:num w:numId="2" w16cid:durableId="465702280">
    <w:abstractNumId w:val="18"/>
  </w:num>
  <w:num w:numId="3" w16cid:durableId="1515267775">
    <w:abstractNumId w:val="12"/>
  </w:num>
  <w:num w:numId="4" w16cid:durableId="1485470359">
    <w:abstractNumId w:val="3"/>
  </w:num>
  <w:num w:numId="5" w16cid:durableId="1308513184">
    <w:abstractNumId w:val="6"/>
  </w:num>
  <w:num w:numId="6" w16cid:durableId="1320228738">
    <w:abstractNumId w:val="10"/>
  </w:num>
  <w:num w:numId="7" w16cid:durableId="1292788725">
    <w:abstractNumId w:val="7"/>
  </w:num>
  <w:num w:numId="8" w16cid:durableId="1366831347">
    <w:abstractNumId w:val="15"/>
  </w:num>
  <w:num w:numId="9" w16cid:durableId="1508785958">
    <w:abstractNumId w:val="0"/>
  </w:num>
  <w:num w:numId="10" w16cid:durableId="486482104">
    <w:abstractNumId w:val="14"/>
  </w:num>
  <w:num w:numId="11" w16cid:durableId="967659410">
    <w:abstractNumId w:val="1"/>
  </w:num>
  <w:num w:numId="12" w16cid:durableId="97452843">
    <w:abstractNumId w:val="8"/>
  </w:num>
  <w:num w:numId="13" w16cid:durableId="1867408449">
    <w:abstractNumId w:val="9"/>
  </w:num>
  <w:num w:numId="14" w16cid:durableId="116072061">
    <w:abstractNumId w:val="13"/>
  </w:num>
  <w:num w:numId="15" w16cid:durableId="40177525">
    <w:abstractNumId w:val="16"/>
  </w:num>
  <w:num w:numId="16" w16cid:durableId="342098163">
    <w:abstractNumId w:val="11"/>
  </w:num>
  <w:num w:numId="17" w16cid:durableId="1388188042">
    <w:abstractNumId w:val="19"/>
  </w:num>
  <w:num w:numId="18" w16cid:durableId="1775202072">
    <w:abstractNumId w:val="2"/>
  </w:num>
  <w:num w:numId="19" w16cid:durableId="1508207777">
    <w:abstractNumId w:val="12"/>
  </w:num>
  <w:num w:numId="20" w16cid:durableId="923875253">
    <w:abstractNumId w:val="4"/>
  </w:num>
  <w:num w:numId="21" w16cid:durableId="1046487574">
    <w:abstractNumId w:val="12"/>
  </w:num>
  <w:num w:numId="22" w16cid:durableId="478419348">
    <w:abstractNumId w:val="5"/>
  </w:num>
  <w:num w:numId="23" w16cid:durableId="2058428076">
    <w:abstractNumId w:val="4"/>
    <w:lvlOverride w:ilvl="0">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AR"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1MTO2NDc2NDQ3MjRW0lEKTi0uzszPAykwMqoFAC3RO5wtAAAA"/>
  </w:docVars>
  <w:rsids>
    <w:rsidRoot w:val="00CE573A"/>
    <w:rsid w:val="0000170D"/>
    <w:rsid w:val="00002404"/>
    <w:rsid w:val="00002ADB"/>
    <w:rsid w:val="00002BAA"/>
    <w:rsid w:val="00002EB5"/>
    <w:rsid w:val="00004084"/>
    <w:rsid w:val="00004149"/>
    <w:rsid w:val="00004955"/>
    <w:rsid w:val="0000599D"/>
    <w:rsid w:val="000063BB"/>
    <w:rsid w:val="00007D06"/>
    <w:rsid w:val="0001018E"/>
    <w:rsid w:val="00010F07"/>
    <w:rsid w:val="00011610"/>
    <w:rsid w:val="0001287B"/>
    <w:rsid w:val="00012D5B"/>
    <w:rsid w:val="00013136"/>
    <w:rsid w:val="0001452A"/>
    <w:rsid w:val="00015A49"/>
    <w:rsid w:val="00015AFD"/>
    <w:rsid w:val="0001650F"/>
    <w:rsid w:val="00016B52"/>
    <w:rsid w:val="00017AE2"/>
    <w:rsid w:val="00020675"/>
    <w:rsid w:val="00020A64"/>
    <w:rsid w:val="00021A59"/>
    <w:rsid w:val="00021D91"/>
    <w:rsid w:val="00022199"/>
    <w:rsid w:val="0002223B"/>
    <w:rsid w:val="00023BDF"/>
    <w:rsid w:val="00023C22"/>
    <w:rsid w:val="00023D26"/>
    <w:rsid w:val="00023F9D"/>
    <w:rsid w:val="00025D20"/>
    <w:rsid w:val="00027F3F"/>
    <w:rsid w:val="000304C9"/>
    <w:rsid w:val="00032B9D"/>
    <w:rsid w:val="00032BC7"/>
    <w:rsid w:val="00032CBC"/>
    <w:rsid w:val="00033C52"/>
    <w:rsid w:val="000341D8"/>
    <w:rsid w:val="00040B47"/>
    <w:rsid w:val="000419F0"/>
    <w:rsid w:val="00041B56"/>
    <w:rsid w:val="0004468D"/>
    <w:rsid w:val="00044786"/>
    <w:rsid w:val="0004676A"/>
    <w:rsid w:val="00046932"/>
    <w:rsid w:val="000501F7"/>
    <w:rsid w:val="0005030D"/>
    <w:rsid w:val="0005073F"/>
    <w:rsid w:val="000510F8"/>
    <w:rsid w:val="000514B2"/>
    <w:rsid w:val="00052B4D"/>
    <w:rsid w:val="00052C5F"/>
    <w:rsid w:val="00054F77"/>
    <w:rsid w:val="00055CEA"/>
    <w:rsid w:val="00056BFF"/>
    <w:rsid w:val="00057B26"/>
    <w:rsid w:val="00060364"/>
    <w:rsid w:val="000604AF"/>
    <w:rsid w:val="000608A7"/>
    <w:rsid w:val="000617C0"/>
    <w:rsid w:val="00061F96"/>
    <w:rsid w:val="00062421"/>
    <w:rsid w:val="00064AF1"/>
    <w:rsid w:val="00064E15"/>
    <w:rsid w:val="00064FE0"/>
    <w:rsid w:val="00065529"/>
    <w:rsid w:val="00067A82"/>
    <w:rsid w:val="00067C5D"/>
    <w:rsid w:val="00071025"/>
    <w:rsid w:val="0007199C"/>
    <w:rsid w:val="00072110"/>
    <w:rsid w:val="00072691"/>
    <w:rsid w:val="0007336C"/>
    <w:rsid w:val="00073909"/>
    <w:rsid w:val="00073F1F"/>
    <w:rsid w:val="000747C7"/>
    <w:rsid w:val="00074FFB"/>
    <w:rsid w:val="000752E3"/>
    <w:rsid w:val="00076CA3"/>
    <w:rsid w:val="00077B5C"/>
    <w:rsid w:val="00077F07"/>
    <w:rsid w:val="000801E2"/>
    <w:rsid w:val="00080206"/>
    <w:rsid w:val="00080942"/>
    <w:rsid w:val="00080B91"/>
    <w:rsid w:val="00081FA3"/>
    <w:rsid w:val="00082150"/>
    <w:rsid w:val="000821F7"/>
    <w:rsid w:val="00082752"/>
    <w:rsid w:val="00082792"/>
    <w:rsid w:val="00082BF8"/>
    <w:rsid w:val="00084748"/>
    <w:rsid w:val="000850B9"/>
    <w:rsid w:val="0008605A"/>
    <w:rsid w:val="00086DAA"/>
    <w:rsid w:val="00087620"/>
    <w:rsid w:val="00091508"/>
    <w:rsid w:val="00092158"/>
    <w:rsid w:val="00092858"/>
    <w:rsid w:val="000930FF"/>
    <w:rsid w:val="00094993"/>
    <w:rsid w:val="00094F25"/>
    <w:rsid w:val="000952FB"/>
    <w:rsid w:val="00095510"/>
    <w:rsid w:val="00095DEB"/>
    <w:rsid w:val="0009694F"/>
    <w:rsid w:val="00096A1C"/>
    <w:rsid w:val="000979F8"/>
    <w:rsid w:val="00097FAF"/>
    <w:rsid w:val="000A0162"/>
    <w:rsid w:val="000A01B2"/>
    <w:rsid w:val="000A051F"/>
    <w:rsid w:val="000A1E8A"/>
    <w:rsid w:val="000A1FE8"/>
    <w:rsid w:val="000A2E23"/>
    <w:rsid w:val="000A31A1"/>
    <w:rsid w:val="000A3218"/>
    <w:rsid w:val="000A39C3"/>
    <w:rsid w:val="000A4088"/>
    <w:rsid w:val="000A586A"/>
    <w:rsid w:val="000A5956"/>
    <w:rsid w:val="000A67A6"/>
    <w:rsid w:val="000B04C6"/>
    <w:rsid w:val="000B066B"/>
    <w:rsid w:val="000B0D47"/>
    <w:rsid w:val="000B185D"/>
    <w:rsid w:val="000B1AAA"/>
    <w:rsid w:val="000B1B3F"/>
    <w:rsid w:val="000B4134"/>
    <w:rsid w:val="000B4450"/>
    <w:rsid w:val="000B5002"/>
    <w:rsid w:val="000B5EFA"/>
    <w:rsid w:val="000B756B"/>
    <w:rsid w:val="000B7AEA"/>
    <w:rsid w:val="000B7C26"/>
    <w:rsid w:val="000C0A86"/>
    <w:rsid w:val="000C0C4C"/>
    <w:rsid w:val="000C1C3C"/>
    <w:rsid w:val="000C215B"/>
    <w:rsid w:val="000C4331"/>
    <w:rsid w:val="000C487F"/>
    <w:rsid w:val="000C4E2A"/>
    <w:rsid w:val="000C5214"/>
    <w:rsid w:val="000C58BF"/>
    <w:rsid w:val="000C6144"/>
    <w:rsid w:val="000C6822"/>
    <w:rsid w:val="000C7113"/>
    <w:rsid w:val="000C7EE2"/>
    <w:rsid w:val="000D183B"/>
    <w:rsid w:val="000D1BF4"/>
    <w:rsid w:val="000D2A58"/>
    <w:rsid w:val="000D3544"/>
    <w:rsid w:val="000D3F77"/>
    <w:rsid w:val="000D4047"/>
    <w:rsid w:val="000D4317"/>
    <w:rsid w:val="000D4375"/>
    <w:rsid w:val="000D5106"/>
    <w:rsid w:val="000D5695"/>
    <w:rsid w:val="000D5964"/>
    <w:rsid w:val="000D6636"/>
    <w:rsid w:val="000D7D85"/>
    <w:rsid w:val="000E04F8"/>
    <w:rsid w:val="000E05D0"/>
    <w:rsid w:val="000E1523"/>
    <w:rsid w:val="000E1E96"/>
    <w:rsid w:val="000E2612"/>
    <w:rsid w:val="000E322B"/>
    <w:rsid w:val="000E4EBB"/>
    <w:rsid w:val="000E4EEF"/>
    <w:rsid w:val="000E4FFF"/>
    <w:rsid w:val="000E7905"/>
    <w:rsid w:val="000E7E3C"/>
    <w:rsid w:val="000E7F76"/>
    <w:rsid w:val="000F00CD"/>
    <w:rsid w:val="000F0892"/>
    <w:rsid w:val="000F0B06"/>
    <w:rsid w:val="000F0BF3"/>
    <w:rsid w:val="000F15EE"/>
    <w:rsid w:val="000F1A9A"/>
    <w:rsid w:val="000F50CB"/>
    <w:rsid w:val="000F57AB"/>
    <w:rsid w:val="000F77DB"/>
    <w:rsid w:val="000F7A3A"/>
    <w:rsid w:val="000F7B09"/>
    <w:rsid w:val="001006F5"/>
    <w:rsid w:val="00101868"/>
    <w:rsid w:val="00101C03"/>
    <w:rsid w:val="001025F1"/>
    <w:rsid w:val="0010281C"/>
    <w:rsid w:val="00103108"/>
    <w:rsid w:val="001039FA"/>
    <w:rsid w:val="00104D90"/>
    <w:rsid w:val="00105BE7"/>
    <w:rsid w:val="00105DB2"/>
    <w:rsid w:val="00106632"/>
    <w:rsid w:val="00107522"/>
    <w:rsid w:val="001102CE"/>
    <w:rsid w:val="00110305"/>
    <w:rsid w:val="00110F3D"/>
    <w:rsid w:val="0011108B"/>
    <w:rsid w:val="00112220"/>
    <w:rsid w:val="00112BB6"/>
    <w:rsid w:val="00112C7F"/>
    <w:rsid w:val="00112CDB"/>
    <w:rsid w:val="00112D72"/>
    <w:rsid w:val="00113389"/>
    <w:rsid w:val="00113B13"/>
    <w:rsid w:val="001143BC"/>
    <w:rsid w:val="00114E8C"/>
    <w:rsid w:val="00115C93"/>
    <w:rsid w:val="00117699"/>
    <w:rsid w:val="00117EDF"/>
    <w:rsid w:val="00121F11"/>
    <w:rsid w:val="00122038"/>
    <w:rsid w:val="00122B84"/>
    <w:rsid w:val="00122C90"/>
    <w:rsid w:val="00123FB4"/>
    <w:rsid w:val="0012478C"/>
    <w:rsid w:val="0012522D"/>
    <w:rsid w:val="00126045"/>
    <w:rsid w:val="00126D28"/>
    <w:rsid w:val="001276B9"/>
    <w:rsid w:val="0013035D"/>
    <w:rsid w:val="001303A7"/>
    <w:rsid w:val="0013052C"/>
    <w:rsid w:val="00132DDD"/>
    <w:rsid w:val="00134C50"/>
    <w:rsid w:val="00135A24"/>
    <w:rsid w:val="0013630C"/>
    <w:rsid w:val="00137E91"/>
    <w:rsid w:val="001417A3"/>
    <w:rsid w:val="00143114"/>
    <w:rsid w:val="001433E1"/>
    <w:rsid w:val="001439E8"/>
    <w:rsid w:val="00144D89"/>
    <w:rsid w:val="00144E12"/>
    <w:rsid w:val="00145812"/>
    <w:rsid w:val="00146EDA"/>
    <w:rsid w:val="00147541"/>
    <w:rsid w:val="00147D89"/>
    <w:rsid w:val="00147F8E"/>
    <w:rsid w:val="00150DAE"/>
    <w:rsid w:val="001521D5"/>
    <w:rsid w:val="00152817"/>
    <w:rsid w:val="001528BB"/>
    <w:rsid w:val="00152D5A"/>
    <w:rsid w:val="00154AEA"/>
    <w:rsid w:val="00155C84"/>
    <w:rsid w:val="00155F7D"/>
    <w:rsid w:val="00156550"/>
    <w:rsid w:val="00156A0F"/>
    <w:rsid w:val="001579D5"/>
    <w:rsid w:val="00157A57"/>
    <w:rsid w:val="0016038E"/>
    <w:rsid w:val="00160ACA"/>
    <w:rsid w:val="001613E5"/>
    <w:rsid w:val="001615C5"/>
    <w:rsid w:val="00163912"/>
    <w:rsid w:val="00164032"/>
    <w:rsid w:val="0016489A"/>
    <w:rsid w:val="00164E30"/>
    <w:rsid w:val="0016610C"/>
    <w:rsid w:val="001671D7"/>
    <w:rsid w:val="00167C14"/>
    <w:rsid w:val="00172048"/>
    <w:rsid w:val="00174034"/>
    <w:rsid w:val="0017442A"/>
    <w:rsid w:val="001773E6"/>
    <w:rsid w:val="00180E1B"/>
    <w:rsid w:val="001822AB"/>
    <w:rsid w:val="001827A5"/>
    <w:rsid w:val="00183612"/>
    <w:rsid w:val="001844BF"/>
    <w:rsid w:val="00184B58"/>
    <w:rsid w:val="00184D52"/>
    <w:rsid w:val="00185D8A"/>
    <w:rsid w:val="001861EB"/>
    <w:rsid w:val="001872C6"/>
    <w:rsid w:val="001879B9"/>
    <w:rsid w:val="00187A17"/>
    <w:rsid w:val="001917AD"/>
    <w:rsid w:val="00192973"/>
    <w:rsid w:val="0019450C"/>
    <w:rsid w:val="00195B30"/>
    <w:rsid w:val="001964D3"/>
    <w:rsid w:val="001969E4"/>
    <w:rsid w:val="00196F11"/>
    <w:rsid w:val="00197C44"/>
    <w:rsid w:val="00197EF6"/>
    <w:rsid w:val="001A03DE"/>
    <w:rsid w:val="001A0F2B"/>
    <w:rsid w:val="001A14D5"/>
    <w:rsid w:val="001A38E1"/>
    <w:rsid w:val="001A498E"/>
    <w:rsid w:val="001A5404"/>
    <w:rsid w:val="001A58A9"/>
    <w:rsid w:val="001A6523"/>
    <w:rsid w:val="001A74A5"/>
    <w:rsid w:val="001B1825"/>
    <w:rsid w:val="001B22F6"/>
    <w:rsid w:val="001B29B3"/>
    <w:rsid w:val="001B329F"/>
    <w:rsid w:val="001B3373"/>
    <w:rsid w:val="001B3989"/>
    <w:rsid w:val="001B59A8"/>
    <w:rsid w:val="001B5DDD"/>
    <w:rsid w:val="001B69E4"/>
    <w:rsid w:val="001C050F"/>
    <w:rsid w:val="001C13B7"/>
    <w:rsid w:val="001C1C90"/>
    <w:rsid w:val="001C1D23"/>
    <w:rsid w:val="001C28FA"/>
    <w:rsid w:val="001C3109"/>
    <w:rsid w:val="001C33DF"/>
    <w:rsid w:val="001C3848"/>
    <w:rsid w:val="001C4349"/>
    <w:rsid w:val="001C4C6D"/>
    <w:rsid w:val="001C5A77"/>
    <w:rsid w:val="001C5F4D"/>
    <w:rsid w:val="001C6A0D"/>
    <w:rsid w:val="001C76B5"/>
    <w:rsid w:val="001D0D21"/>
    <w:rsid w:val="001D132F"/>
    <w:rsid w:val="001D15B9"/>
    <w:rsid w:val="001D24C2"/>
    <w:rsid w:val="001D259D"/>
    <w:rsid w:val="001D314C"/>
    <w:rsid w:val="001D3A8A"/>
    <w:rsid w:val="001D3E27"/>
    <w:rsid w:val="001D6393"/>
    <w:rsid w:val="001D68E1"/>
    <w:rsid w:val="001D69B2"/>
    <w:rsid w:val="001D6EF3"/>
    <w:rsid w:val="001E079D"/>
    <w:rsid w:val="001E0B3E"/>
    <w:rsid w:val="001E141D"/>
    <w:rsid w:val="001E1549"/>
    <w:rsid w:val="001E158C"/>
    <w:rsid w:val="001E1AA2"/>
    <w:rsid w:val="001E32A9"/>
    <w:rsid w:val="001E3EF5"/>
    <w:rsid w:val="001E41F1"/>
    <w:rsid w:val="001E4C33"/>
    <w:rsid w:val="001E57DE"/>
    <w:rsid w:val="001E6263"/>
    <w:rsid w:val="001E6375"/>
    <w:rsid w:val="001E6996"/>
    <w:rsid w:val="001F0EB0"/>
    <w:rsid w:val="001F1F36"/>
    <w:rsid w:val="001F225B"/>
    <w:rsid w:val="001F2EBA"/>
    <w:rsid w:val="001F36BF"/>
    <w:rsid w:val="001F3D07"/>
    <w:rsid w:val="001F4011"/>
    <w:rsid w:val="001F4601"/>
    <w:rsid w:val="001F5709"/>
    <w:rsid w:val="001F5991"/>
    <w:rsid w:val="001F5C23"/>
    <w:rsid w:val="001F6C62"/>
    <w:rsid w:val="001F708A"/>
    <w:rsid w:val="001F7EDD"/>
    <w:rsid w:val="002005A8"/>
    <w:rsid w:val="00201526"/>
    <w:rsid w:val="0020225D"/>
    <w:rsid w:val="002023B1"/>
    <w:rsid w:val="00202F46"/>
    <w:rsid w:val="00204D48"/>
    <w:rsid w:val="00205B46"/>
    <w:rsid w:val="00206155"/>
    <w:rsid w:val="002061E5"/>
    <w:rsid w:val="0020662B"/>
    <w:rsid w:val="00206B36"/>
    <w:rsid w:val="00206B46"/>
    <w:rsid w:val="00206E88"/>
    <w:rsid w:val="002072DA"/>
    <w:rsid w:val="002079F9"/>
    <w:rsid w:val="00207DFC"/>
    <w:rsid w:val="00210037"/>
    <w:rsid w:val="00210577"/>
    <w:rsid w:val="00210A53"/>
    <w:rsid w:val="00210AA7"/>
    <w:rsid w:val="00210F9D"/>
    <w:rsid w:val="00211047"/>
    <w:rsid w:val="002110BB"/>
    <w:rsid w:val="00211691"/>
    <w:rsid w:val="00211DD7"/>
    <w:rsid w:val="00212114"/>
    <w:rsid w:val="00212248"/>
    <w:rsid w:val="002126E1"/>
    <w:rsid w:val="00213045"/>
    <w:rsid w:val="00213268"/>
    <w:rsid w:val="00213E17"/>
    <w:rsid w:val="00214479"/>
    <w:rsid w:val="002149D3"/>
    <w:rsid w:val="00216A0C"/>
    <w:rsid w:val="00217590"/>
    <w:rsid w:val="00217E6C"/>
    <w:rsid w:val="002203C0"/>
    <w:rsid w:val="0022091A"/>
    <w:rsid w:val="00220ABD"/>
    <w:rsid w:val="0022134A"/>
    <w:rsid w:val="002219F4"/>
    <w:rsid w:val="002230DE"/>
    <w:rsid w:val="00223EC1"/>
    <w:rsid w:val="002244D7"/>
    <w:rsid w:val="0022485E"/>
    <w:rsid w:val="00225119"/>
    <w:rsid w:val="00225595"/>
    <w:rsid w:val="00226885"/>
    <w:rsid w:val="00227714"/>
    <w:rsid w:val="00227AD6"/>
    <w:rsid w:val="00230259"/>
    <w:rsid w:val="0023039F"/>
    <w:rsid w:val="00230803"/>
    <w:rsid w:val="0023202F"/>
    <w:rsid w:val="00232399"/>
    <w:rsid w:val="002333A5"/>
    <w:rsid w:val="00233761"/>
    <w:rsid w:val="00233A90"/>
    <w:rsid w:val="00234B4B"/>
    <w:rsid w:val="002356B7"/>
    <w:rsid w:val="00235A6F"/>
    <w:rsid w:val="002363AE"/>
    <w:rsid w:val="0023688E"/>
    <w:rsid w:val="002369A3"/>
    <w:rsid w:val="00236E76"/>
    <w:rsid w:val="00240EE4"/>
    <w:rsid w:val="00241C50"/>
    <w:rsid w:val="00241F1D"/>
    <w:rsid w:val="00242569"/>
    <w:rsid w:val="00243AEB"/>
    <w:rsid w:val="00243C16"/>
    <w:rsid w:val="00244DE1"/>
    <w:rsid w:val="00247A82"/>
    <w:rsid w:val="00247BDD"/>
    <w:rsid w:val="00247E67"/>
    <w:rsid w:val="00251135"/>
    <w:rsid w:val="00252296"/>
    <w:rsid w:val="00255476"/>
    <w:rsid w:val="00255C3E"/>
    <w:rsid w:val="00256486"/>
    <w:rsid w:val="00256BD6"/>
    <w:rsid w:val="0025726A"/>
    <w:rsid w:val="00257C99"/>
    <w:rsid w:val="00261324"/>
    <w:rsid w:val="00261D59"/>
    <w:rsid w:val="002637C7"/>
    <w:rsid w:val="002638B0"/>
    <w:rsid w:val="00263ACD"/>
    <w:rsid w:val="00263FE6"/>
    <w:rsid w:val="002645E5"/>
    <w:rsid w:val="00265AE3"/>
    <w:rsid w:val="00266199"/>
    <w:rsid w:val="002707EA"/>
    <w:rsid w:val="00271979"/>
    <w:rsid w:val="00272889"/>
    <w:rsid w:val="00272C66"/>
    <w:rsid w:val="00272F08"/>
    <w:rsid w:val="00272FEE"/>
    <w:rsid w:val="0027324D"/>
    <w:rsid w:val="00273AEF"/>
    <w:rsid w:val="00273E67"/>
    <w:rsid w:val="002740CC"/>
    <w:rsid w:val="00275A93"/>
    <w:rsid w:val="00277041"/>
    <w:rsid w:val="00280DAE"/>
    <w:rsid w:val="00280DCB"/>
    <w:rsid w:val="0028258E"/>
    <w:rsid w:val="002833BC"/>
    <w:rsid w:val="00283436"/>
    <w:rsid w:val="00283471"/>
    <w:rsid w:val="00283937"/>
    <w:rsid w:val="00283D68"/>
    <w:rsid w:val="0028469E"/>
    <w:rsid w:val="002854D9"/>
    <w:rsid w:val="00285DE0"/>
    <w:rsid w:val="00286022"/>
    <w:rsid w:val="002867CB"/>
    <w:rsid w:val="00286F6F"/>
    <w:rsid w:val="00287EC3"/>
    <w:rsid w:val="00290681"/>
    <w:rsid w:val="00290EE5"/>
    <w:rsid w:val="002932A3"/>
    <w:rsid w:val="00293885"/>
    <w:rsid w:val="00293F7D"/>
    <w:rsid w:val="00294242"/>
    <w:rsid w:val="00295C7B"/>
    <w:rsid w:val="0029666A"/>
    <w:rsid w:val="00297E57"/>
    <w:rsid w:val="002A01B9"/>
    <w:rsid w:val="002A0C0B"/>
    <w:rsid w:val="002A0D18"/>
    <w:rsid w:val="002A19CB"/>
    <w:rsid w:val="002A3D8F"/>
    <w:rsid w:val="002A447A"/>
    <w:rsid w:val="002A47BA"/>
    <w:rsid w:val="002A4953"/>
    <w:rsid w:val="002A4E9F"/>
    <w:rsid w:val="002A5341"/>
    <w:rsid w:val="002A53F4"/>
    <w:rsid w:val="002A54C8"/>
    <w:rsid w:val="002A67A0"/>
    <w:rsid w:val="002A68EC"/>
    <w:rsid w:val="002A6A5A"/>
    <w:rsid w:val="002A7CC7"/>
    <w:rsid w:val="002A7F70"/>
    <w:rsid w:val="002B0D92"/>
    <w:rsid w:val="002B0DC8"/>
    <w:rsid w:val="002B1B9F"/>
    <w:rsid w:val="002B1C3A"/>
    <w:rsid w:val="002B2C88"/>
    <w:rsid w:val="002B329E"/>
    <w:rsid w:val="002B34F5"/>
    <w:rsid w:val="002B36F8"/>
    <w:rsid w:val="002B42AF"/>
    <w:rsid w:val="002B4406"/>
    <w:rsid w:val="002B4AD1"/>
    <w:rsid w:val="002B4B14"/>
    <w:rsid w:val="002B4DC1"/>
    <w:rsid w:val="002B5444"/>
    <w:rsid w:val="002B639C"/>
    <w:rsid w:val="002C10ED"/>
    <w:rsid w:val="002C1B81"/>
    <w:rsid w:val="002C1D6A"/>
    <w:rsid w:val="002C2031"/>
    <w:rsid w:val="002C4878"/>
    <w:rsid w:val="002C4941"/>
    <w:rsid w:val="002C5041"/>
    <w:rsid w:val="002C5756"/>
    <w:rsid w:val="002C5FF5"/>
    <w:rsid w:val="002C6C41"/>
    <w:rsid w:val="002C740D"/>
    <w:rsid w:val="002C7513"/>
    <w:rsid w:val="002C7737"/>
    <w:rsid w:val="002C7B5A"/>
    <w:rsid w:val="002C7BDF"/>
    <w:rsid w:val="002C7F5C"/>
    <w:rsid w:val="002D09CA"/>
    <w:rsid w:val="002D10A7"/>
    <w:rsid w:val="002D13AD"/>
    <w:rsid w:val="002D2445"/>
    <w:rsid w:val="002D2627"/>
    <w:rsid w:val="002D4A7E"/>
    <w:rsid w:val="002D682B"/>
    <w:rsid w:val="002E0F95"/>
    <w:rsid w:val="002E195F"/>
    <w:rsid w:val="002E1A06"/>
    <w:rsid w:val="002E20A7"/>
    <w:rsid w:val="002E2768"/>
    <w:rsid w:val="002E2D25"/>
    <w:rsid w:val="002E3843"/>
    <w:rsid w:val="002E3911"/>
    <w:rsid w:val="002E3D26"/>
    <w:rsid w:val="002E6A25"/>
    <w:rsid w:val="002E76B0"/>
    <w:rsid w:val="002E77F3"/>
    <w:rsid w:val="002F04AD"/>
    <w:rsid w:val="002F0D6D"/>
    <w:rsid w:val="002F18E8"/>
    <w:rsid w:val="002F3050"/>
    <w:rsid w:val="002F3C33"/>
    <w:rsid w:val="002F3EC3"/>
    <w:rsid w:val="002F5DFF"/>
    <w:rsid w:val="002F5E0E"/>
    <w:rsid w:val="002F6236"/>
    <w:rsid w:val="002F645C"/>
    <w:rsid w:val="002F6D51"/>
    <w:rsid w:val="002F73B6"/>
    <w:rsid w:val="002F75D0"/>
    <w:rsid w:val="002F7C1D"/>
    <w:rsid w:val="002F7D31"/>
    <w:rsid w:val="00300506"/>
    <w:rsid w:val="003011A5"/>
    <w:rsid w:val="00302C75"/>
    <w:rsid w:val="00302E96"/>
    <w:rsid w:val="00304542"/>
    <w:rsid w:val="003046EC"/>
    <w:rsid w:val="003071CA"/>
    <w:rsid w:val="00307BC7"/>
    <w:rsid w:val="0031029F"/>
    <w:rsid w:val="00310764"/>
    <w:rsid w:val="003108ED"/>
    <w:rsid w:val="00310C63"/>
    <w:rsid w:val="00310CE9"/>
    <w:rsid w:val="00311359"/>
    <w:rsid w:val="003114DA"/>
    <w:rsid w:val="003115D3"/>
    <w:rsid w:val="0031189D"/>
    <w:rsid w:val="0031237D"/>
    <w:rsid w:val="00312CF6"/>
    <w:rsid w:val="00313575"/>
    <w:rsid w:val="00313719"/>
    <w:rsid w:val="00314327"/>
    <w:rsid w:val="0031488C"/>
    <w:rsid w:val="00314A92"/>
    <w:rsid w:val="00317989"/>
    <w:rsid w:val="00320429"/>
    <w:rsid w:val="00320CD5"/>
    <w:rsid w:val="003216BF"/>
    <w:rsid w:val="003239A5"/>
    <w:rsid w:val="00324C9C"/>
    <w:rsid w:val="00324D3F"/>
    <w:rsid w:val="00326700"/>
    <w:rsid w:val="003277C6"/>
    <w:rsid w:val="00330824"/>
    <w:rsid w:val="003311D2"/>
    <w:rsid w:val="00331506"/>
    <w:rsid w:val="00331B8B"/>
    <w:rsid w:val="00331BB9"/>
    <w:rsid w:val="00332475"/>
    <w:rsid w:val="00332E49"/>
    <w:rsid w:val="00332F4D"/>
    <w:rsid w:val="00333674"/>
    <w:rsid w:val="00333B54"/>
    <w:rsid w:val="003343A8"/>
    <w:rsid w:val="00334E1D"/>
    <w:rsid w:val="0033584B"/>
    <w:rsid w:val="00335DC2"/>
    <w:rsid w:val="00336DBA"/>
    <w:rsid w:val="00336DE8"/>
    <w:rsid w:val="00337974"/>
    <w:rsid w:val="0034021F"/>
    <w:rsid w:val="00340939"/>
    <w:rsid w:val="00341161"/>
    <w:rsid w:val="003411F8"/>
    <w:rsid w:val="00341407"/>
    <w:rsid w:val="00343F40"/>
    <w:rsid w:val="003441A0"/>
    <w:rsid w:val="00344C86"/>
    <w:rsid w:val="0034537D"/>
    <w:rsid w:val="00345E67"/>
    <w:rsid w:val="00346ADB"/>
    <w:rsid w:val="00346F0E"/>
    <w:rsid w:val="00346F65"/>
    <w:rsid w:val="00351E02"/>
    <w:rsid w:val="00352AD6"/>
    <w:rsid w:val="00352EAB"/>
    <w:rsid w:val="00352F1B"/>
    <w:rsid w:val="00353BD9"/>
    <w:rsid w:val="00354F8E"/>
    <w:rsid w:val="003552C0"/>
    <w:rsid w:val="00355399"/>
    <w:rsid w:val="0035539C"/>
    <w:rsid w:val="00355D57"/>
    <w:rsid w:val="00356584"/>
    <w:rsid w:val="00356A6F"/>
    <w:rsid w:val="00357B3F"/>
    <w:rsid w:val="00360348"/>
    <w:rsid w:val="00360F0E"/>
    <w:rsid w:val="003613F1"/>
    <w:rsid w:val="00361A79"/>
    <w:rsid w:val="00363146"/>
    <w:rsid w:val="00363CDC"/>
    <w:rsid w:val="00364524"/>
    <w:rsid w:val="00364F23"/>
    <w:rsid w:val="0036549C"/>
    <w:rsid w:val="00365F9B"/>
    <w:rsid w:val="00367757"/>
    <w:rsid w:val="00370C0A"/>
    <w:rsid w:val="0037146C"/>
    <w:rsid w:val="00371F11"/>
    <w:rsid w:val="003721C3"/>
    <w:rsid w:val="00372324"/>
    <w:rsid w:val="00372DCE"/>
    <w:rsid w:val="00372F68"/>
    <w:rsid w:val="003733A7"/>
    <w:rsid w:val="00373CF5"/>
    <w:rsid w:val="003748F1"/>
    <w:rsid w:val="003750A7"/>
    <w:rsid w:val="0037539F"/>
    <w:rsid w:val="00375C16"/>
    <w:rsid w:val="00375D15"/>
    <w:rsid w:val="00376551"/>
    <w:rsid w:val="00377031"/>
    <w:rsid w:val="00377BC7"/>
    <w:rsid w:val="0038100B"/>
    <w:rsid w:val="0038204D"/>
    <w:rsid w:val="00382FE2"/>
    <w:rsid w:val="00383CC8"/>
    <w:rsid w:val="003843FE"/>
    <w:rsid w:val="003868BD"/>
    <w:rsid w:val="00387162"/>
    <w:rsid w:val="00387BDD"/>
    <w:rsid w:val="00387C2D"/>
    <w:rsid w:val="0039053E"/>
    <w:rsid w:val="003915D4"/>
    <w:rsid w:val="00391E2A"/>
    <w:rsid w:val="00391EBB"/>
    <w:rsid w:val="00391FA4"/>
    <w:rsid w:val="0039216A"/>
    <w:rsid w:val="003926B3"/>
    <w:rsid w:val="00392AEB"/>
    <w:rsid w:val="00392CEF"/>
    <w:rsid w:val="00394BDB"/>
    <w:rsid w:val="00395E0C"/>
    <w:rsid w:val="00396335"/>
    <w:rsid w:val="0039637A"/>
    <w:rsid w:val="0039667A"/>
    <w:rsid w:val="003967D8"/>
    <w:rsid w:val="00397E9B"/>
    <w:rsid w:val="003A0546"/>
    <w:rsid w:val="003A0BA7"/>
    <w:rsid w:val="003A163D"/>
    <w:rsid w:val="003A24D2"/>
    <w:rsid w:val="003A39B0"/>
    <w:rsid w:val="003A3AF0"/>
    <w:rsid w:val="003A4154"/>
    <w:rsid w:val="003A43E3"/>
    <w:rsid w:val="003A472F"/>
    <w:rsid w:val="003A553B"/>
    <w:rsid w:val="003A5A63"/>
    <w:rsid w:val="003A5CD6"/>
    <w:rsid w:val="003A606A"/>
    <w:rsid w:val="003A6292"/>
    <w:rsid w:val="003A652C"/>
    <w:rsid w:val="003A797E"/>
    <w:rsid w:val="003B0033"/>
    <w:rsid w:val="003B122D"/>
    <w:rsid w:val="003B125E"/>
    <w:rsid w:val="003B19D4"/>
    <w:rsid w:val="003B3575"/>
    <w:rsid w:val="003B3C71"/>
    <w:rsid w:val="003B4297"/>
    <w:rsid w:val="003B5589"/>
    <w:rsid w:val="003B57D0"/>
    <w:rsid w:val="003B7893"/>
    <w:rsid w:val="003C0AC1"/>
    <w:rsid w:val="003C344A"/>
    <w:rsid w:val="003C408A"/>
    <w:rsid w:val="003C41E0"/>
    <w:rsid w:val="003C4814"/>
    <w:rsid w:val="003C5C3A"/>
    <w:rsid w:val="003C5D44"/>
    <w:rsid w:val="003C61E7"/>
    <w:rsid w:val="003C70F6"/>
    <w:rsid w:val="003D03FD"/>
    <w:rsid w:val="003D07E0"/>
    <w:rsid w:val="003D1741"/>
    <w:rsid w:val="003D2258"/>
    <w:rsid w:val="003D3087"/>
    <w:rsid w:val="003D4D08"/>
    <w:rsid w:val="003D4FA3"/>
    <w:rsid w:val="003D5677"/>
    <w:rsid w:val="003D5EAC"/>
    <w:rsid w:val="003D6CBB"/>
    <w:rsid w:val="003D78FD"/>
    <w:rsid w:val="003E0948"/>
    <w:rsid w:val="003E0A47"/>
    <w:rsid w:val="003E1E07"/>
    <w:rsid w:val="003E2EBE"/>
    <w:rsid w:val="003E313F"/>
    <w:rsid w:val="003E4588"/>
    <w:rsid w:val="003E45C8"/>
    <w:rsid w:val="003E53AE"/>
    <w:rsid w:val="003E553B"/>
    <w:rsid w:val="003E55DC"/>
    <w:rsid w:val="003E622F"/>
    <w:rsid w:val="003E64B8"/>
    <w:rsid w:val="003E6800"/>
    <w:rsid w:val="003E7559"/>
    <w:rsid w:val="003F101A"/>
    <w:rsid w:val="003F1F67"/>
    <w:rsid w:val="003F309D"/>
    <w:rsid w:val="003F31F3"/>
    <w:rsid w:val="003F3941"/>
    <w:rsid w:val="003F4284"/>
    <w:rsid w:val="003F46C3"/>
    <w:rsid w:val="003F4AC6"/>
    <w:rsid w:val="003F4C7B"/>
    <w:rsid w:val="003F5306"/>
    <w:rsid w:val="003F6729"/>
    <w:rsid w:val="003F68E1"/>
    <w:rsid w:val="003F6BB5"/>
    <w:rsid w:val="003F6C93"/>
    <w:rsid w:val="003F6D30"/>
    <w:rsid w:val="003F6FEB"/>
    <w:rsid w:val="003F774D"/>
    <w:rsid w:val="004005A7"/>
    <w:rsid w:val="004023A1"/>
    <w:rsid w:val="00404B23"/>
    <w:rsid w:val="004050D3"/>
    <w:rsid w:val="004051CA"/>
    <w:rsid w:val="00406AEA"/>
    <w:rsid w:val="004074D2"/>
    <w:rsid w:val="00407AEF"/>
    <w:rsid w:val="00407DC6"/>
    <w:rsid w:val="004102BD"/>
    <w:rsid w:val="00411BB6"/>
    <w:rsid w:val="00412926"/>
    <w:rsid w:val="00412CF8"/>
    <w:rsid w:val="00413005"/>
    <w:rsid w:val="0041368D"/>
    <w:rsid w:val="00413962"/>
    <w:rsid w:val="004142DC"/>
    <w:rsid w:val="0041430F"/>
    <w:rsid w:val="0041560F"/>
    <w:rsid w:val="0041591F"/>
    <w:rsid w:val="00416E90"/>
    <w:rsid w:val="0041711E"/>
    <w:rsid w:val="004174BF"/>
    <w:rsid w:val="00420EA0"/>
    <w:rsid w:val="00421791"/>
    <w:rsid w:val="004218C6"/>
    <w:rsid w:val="00424CDE"/>
    <w:rsid w:val="004252B5"/>
    <w:rsid w:val="004254B4"/>
    <w:rsid w:val="004258BD"/>
    <w:rsid w:val="004262CA"/>
    <w:rsid w:val="004263CC"/>
    <w:rsid w:val="004268B3"/>
    <w:rsid w:val="00426C68"/>
    <w:rsid w:val="0043034A"/>
    <w:rsid w:val="00431056"/>
    <w:rsid w:val="00432496"/>
    <w:rsid w:val="00433517"/>
    <w:rsid w:val="00433B42"/>
    <w:rsid w:val="00433CBF"/>
    <w:rsid w:val="00434592"/>
    <w:rsid w:val="00434D50"/>
    <w:rsid w:val="004350D0"/>
    <w:rsid w:val="0043621C"/>
    <w:rsid w:val="00436A07"/>
    <w:rsid w:val="0043790F"/>
    <w:rsid w:val="004417DA"/>
    <w:rsid w:val="00441C08"/>
    <w:rsid w:val="00441C35"/>
    <w:rsid w:val="00442106"/>
    <w:rsid w:val="00443E7E"/>
    <w:rsid w:val="00444031"/>
    <w:rsid w:val="004449CD"/>
    <w:rsid w:val="00444F4C"/>
    <w:rsid w:val="00446ABF"/>
    <w:rsid w:val="0044751B"/>
    <w:rsid w:val="00447D90"/>
    <w:rsid w:val="00451890"/>
    <w:rsid w:val="00452C7D"/>
    <w:rsid w:val="00455583"/>
    <w:rsid w:val="00455DF8"/>
    <w:rsid w:val="0045731B"/>
    <w:rsid w:val="00460109"/>
    <w:rsid w:val="0046041E"/>
    <w:rsid w:val="0046066A"/>
    <w:rsid w:val="004609DD"/>
    <w:rsid w:val="00460DD8"/>
    <w:rsid w:val="004617D0"/>
    <w:rsid w:val="00461FD7"/>
    <w:rsid w:val="00462822"/>
    <w:rsid w:val="0046348C"/>
    <w:rsid w:val="00463755"/>
    <w:rsid w:val="00463EAF"/>
    <w:rsid w:val="0046424C"/>
    <w:rsid w:val="00464690"/>
    <w:rsid w:val="00464FA3"/>
    <w:rsid w:val="004653C3"/>
    <w:rsid w:val="00466FE8"/>
    <w:rsid w:val="004674DD"/>
    <w:rsid w:val="00467BA3"/>
    <w:rsid w:val="00467C36"/>
    <w:rsid w:val="00471123"/>
    <w:rsid w:val="0047142F"/>
    <w:rsid w:val="00471A8F"/>
    <w:rsid w:val="00471D18"/>
    <w:rsid w:val="00472B16"/>
    <w:rsid w:val="00473DF0"/>
    <w:rsid w:val="00475166"/>
    <w:rsid w:val="00476142"/>
    <w:rsid w:val="00477522"/>
    <w:rsid w:val="00477960"/>
    <w:rsid w:val="00477FBF"/>
    <w:rsid w:val="00480355"/>
    <w:rsid w:val="00480FD7"/>
    <w:rsid w:val="00481A9A"/>
    <w:rsid w:val="0048247E"/>
    <w:rsid w:val="0048364E"/>
    <w:rsid w:val="00484B73"/>
    <w:rsid w:val="0048546F"/>
    <w:rsid w:val="0048658B"/>
    <w:rsid w:val="00487193"/>
    <w:rsid w:val="004901CE"/>
    <w:rsid w:val="004907DE"/>
    <w:rsid w:val="00490D39"/>
    <w:rsid w:val="00490F2C"/>
    <w:rsid w:val="004921FF"/>
    <w:rsid w:val="00492945"/>
    <w:rsid w:val="00492D9F"/>
    <w:rsid w:val="004934CA"/>
    <w:rsid w:val="00494659"/>
    <w:rsid w:val="00494AC5"/>
    <w:rsid w:val="00494AF6"/>
    <w:rsid w:val="004963FD"/>
    <w:rsid w:val="004968C5"/>
    <w:rsid w:val="00497100"/>
    <w:rsid w:val="004A185D"/>
    <w:rsid w:val="004A271E"/>
    <w:rsid w:val="004A4053"/>
    <w:rsid w:val="004A4391"/>
    <w:rsid w:val="004A4937"/>
    <w:rsid w:val="004A5255"/>
    <w:rsid w:val="004A552C"/>
    <w:rsid w:val="004A59CA"/>
    <w:rsid w:val="004A66D9"/>
    <w:rsid w:val="004A6898"/>
    <w:rsid w:val="004A6A27"/>
    <w:rsid w:val="004A6B46"/>
    <w:rsid w:val="004A7A1D"/>
    <w:rsid w:val="004A7A34"/>
    <w:rsid w:val="004B0587"/>
    <w:rsid w:val="004B0BCD"/>
    <w:rsid w:val="004B1B82"/>
    <w:rsid w:val="004B1FB0"/>
    <w:rsid w:val="004B2028"/>
    <w:rsid w:val="004B2772"/>
    <w:rsid w:val="004B39ED"/>
    <w:rsid w:val="004B42EE"/>
    <w:rsid w:val="004B6D25"/>
    <w:rsid w:val="004B7439"/>
    <w:rsid w:val="004B7B55"/>
    <w:rsid w:val="004C0700"/>
    <w:rsid w:val="004C1405"/>
    <w:rsid w:val="004C2A8C"/>
    <w:rsid w:val="004C3730"/>
    <w:rsid w:val="004C3CAF"/>
    <w:rsid w:val="004C4495"/>
    <w:rsid w:val="004C472F"/>
    <w:rsid w:val="004C5322"/>
    <w:rsid w:val="004C5824"/>
    <w:rsid w:val="004C5A71"/>
    <w:rsid w:val="004C62E5"/>
    <w:rsid w:val="004C78A0"/>
    <w:rsid w:val="004C79B4"/>
    <w:rsid w:val="004C7AE7"/>
    <w:rsid w:val="004D1576"/>
    <w:rsid w:val="004D166B"/>
    <w:rsid w:val="004D17E4"/>
    <w:rsid w:val="004D26C1"/>
    <w:rsid w:val="004D327F"/>
    <w:rsid w:val="004D3C91"/>
    <w:rsid w:val="004D450A"/>
    <w:rsid w:val="004D49A2"/>
    <w:rsid w:val="004D58AF"/>
    <w:rsid w:val="004D76DB"/>
    <w:rsid w:val="004D7B94"/>
    <w:rsid w:val="004E1156"/>
    <w:rsid w:val="004E1C90"/>
    <w:rsid w:val="004E2392"/>
    <w:rsid w:val="004E272B"/>
    <w:rsid w:val="004E289D"/>
    <w:rsid w:val="004E2ABA"/>
    <w:rsid w:val="004E2CE4"/>
    <w:rsid w:val="004E3CA9"/>
    <w:rsid w:val="004E5AE0"/>
    <w:rsid w:val="004E5E63"/>
    <w:rsid w:val="004E62C3"/>
    <w:rsid w:val="004F0630"/>
    <w:rsid w:val="004F0747"/>
    <w:rsid w:val="004F0ABC"/>
    <w:rsid w:val="004F0EBE"/>
    <w:rsid w:val="004F1B02"/>
    <w:rsid w:val="004F242C"/>
    <w:rsid w:val="004F27D7"/>
    <w:rsid w:val="004F2EAB"/>
    <w:rsid w:val="004F2FC3"/>
    <w:rsid w:val="004F3890"/>
    <w:rsid w:val="004F3CE7"/>
    <w:rsid w:val="004F3E3E"/>
    <w:rsid w:val="004F537E"/>
    <w:rsid w:val="004F5D90"/>
    <w:rsid w:val="004F6D1E"/>
    <w:rsid w:val="004F783E"/>
    <w:rsid w:val="004F7BA1"/>
    <w:rsid w:val="004F7CBA"/>
    <w:rsid w:val="005005F9"/>
    <w:rsid w:val="00501C75"/>
    <w:rsid w:val="0050227A"/>
    <w:rsid w:val="0050227E"/>
    <w:rsid w:val="00502DB0"/>
    <w:rsid w:val="00503130"/>
    <w:rsid w:val="005036F4"/>
    <w:rsid w:val="0050495E"/>
    <w:rsid w:val="005053D4"/>
    <w:rsid w:val="00506968"/>
    <w:rsid w:val="00506FF0"/>
    <w:rsid w:val="00507D1F"/>
    <w:rsid w:val="00510000"/>
    <w:rsid w:val="00510514"/>
    <w:rsid w:val="00512105"/>
    <w:rsid w:val="00513CB7"/>
    <w:rsid w:val="00513EFF"/>
    <w:rsid w:val="00514552"/>
    <w:rsid w:val="005146D1"/>
    <w:rsid w:val="00514EA5"/>
    <w:rsid w:val="00514ED5"/>
    <w:rsid w:val="005155C7"/>
    <w:rsid w:val="00516374"/>
    <w:rsid w:val="00516CA1"/>
    <w:rsid w:val="00517D69"/>
    <w:rsid w:val="00520132"/>
    <w:rsid w:val="00521154"/>
    <w:rsid w:val="00522A67"/>
    <w:rsid w:val="00524865"/>
    <w:rsid w:val="00524F9B"/>
    <w:rsid w:val="005252F5"/>
    <w:rsid w:val="00525373"/>
    <w:rsid w:val="0052631D"/>
    <w:rsid w:val="00526B29"/>
    <w:rsid w:val="0052715A"/>
    <w:rsid w:val="005273FD"/>
    <w:rsid w:val="0052774A"/>
    <w:rsid w:val="005302BC"/>
    <w:rsid w:val="00530750"/>
    <w:rsid w:val="00530838"/>
    <w:rsid w:val="00531E36"/>
    <w:rsid w:val="00531F9F"/>
    <w:rsid w:val="005322D4"/>
    <w:rsid w:val="00533BC2"/>
    <w:rsid w:val="005341D6"/>
    <w:rsid w:val="00535F74"/>
    <w:rsid w:val="00535FF9"/>
    <w:rsid w:val="0054084D"/>
    <w:rsid w:val="00540AF9"/>
    <w:rsid w:val="00540C30"/>
    <w:rsid w:val="00541479"/>
    <w:rsid w:val="00541BF7"/>
    <w:rsid w:val="00542810"/>
    <w:rsid w:val="00543BB8"/>
    <w:rsid w:val="0054535D"/>
    <w:rsid w:val="005457A6"/>
    <w:rsid w:val="00545A31"/>
    <w:rsid w:val="00545C03"/>
    <w:rsid w:val="0054617D"/>
    <w:rsid w:val="005470EE"/>
    <w:rsid w:val="0054791A"/>
    <w:rsid w:val="00547A75"/>
    <w:rsid w:val="00550320"/>
    <w:rsid w:val="0055093D"/>
    <w:rsid w:val="00550A78"/>
    <w:rsid w:val="00551296"/>
    <w:rsid w:val="005519B8"/>
    <w:rsid w:val="0055328C"/>
    <w:rsid w:val="005549D1"/>
    <w:rsid w:val="00554E14"/>
    <w:rsid w:val="00554EA0"/>
    <w:rsid w:val="00555131"/>
    <w:rsid w:val="005565E2"/>
    <w:rsid w:val="005569E5"/>
    <w:rsid w:val="00557021"/>
    <w:rsid w:val="005576B9"/>
    <w:rsid w:val="00560005"/>
    <w:rsid w:val="00562DC4"/>
    <w:rsid w:val="00563F35"/>
    <w:rsid w:val="00564521"/>
    <w:rsid w:val="0056518D"/>
    <w:rsid w:val="00565381"/>
    <w:rsid w:val="00566328"/>
    <w:rsid w:val="00566D8D"/>
    <w:rsid w:val="00567F63"/>
    <w:rsid w:val="005717BB"/>
    <w:rsid w:val="0057237A"/>
    <w:rsid w:val="00572DBD"/>
    <w:rsid w:val="00572F08"/>
    <w:rsid w:val="00573699"/>
    <w:rsid w:val="0057378F"/>
    <w:rsid w:val="00573D36"/>
    <w:rsid w:val="0057512A"/>
    <w:rsid w:val="00576698"/>
    <w:rsid w:val="00577FAF"/>
    <w:rsid w:val="00580667"/>
    <w:rsid w:val="00580DEE"/>
    <w:rsid w:val="005823D9"/>
    <w:rsid w:val="00582B00"/>
    <w:rsid w:val="00583A5C"/>
    <w:rsid w:val="00584DF5"/>
    <w:rsid w:val="00584F88"/>
    <w:rsid w:val="005863A3"/>
    <w:rsid w:val="00586729"/>
    <w:rsid w:val="005867C5"/>
    <w:rsid w:val="005874F8"/>
    <w:rsid w:val="005875E0"/>
    <w:rsid w:val="00587C20"/>
    <w:rsid w:val="00590803"/>
    <w:rsid w:val="00590F3F"/>
    <w:rsid w:val="005912A8"/>
    <w:rsid w:val="005913D1"/>
    <w:rsid w:val="00591670"/>
    <w:rsid w:val="0059186D"/>
    <w:rsid w:val="0059193B"/>
    <w:rsid w:val="00591AFF"/>
    <w:rsid w:val="00592A32"/>
    <w:rsid w:val="00592F85"/>
    <w:rsid w:val="00593654"/>
    <w:rsid w:val="005938CF"/>
    <w:rsid w:val="00593B37"/>
    <w:rsid w:val="00593EE6"/>
    <w:rsid w:val="00594342"/>
    <w:rsid w:val="005949C1"/>
    <w:rsid w:val="00595471"/>
    <w:rsid w:val="00595FED"/>
    <w:rsid w:val="00596AD6"/>
    <w:rsid w:val="00597513"/>
    <w:rsid w:val="005976C7"/>
    <w:rsid w:val="005A0D9E"/>
    <w:rsid w:val="005A11AD"/>
    <w:rsid w:val="005A17D5"/>
    <w:rsid w:val="005A1890"/>
    <w:rsid w:val="005A3C43"/>
    <w:rsid w:val="005A4040"/>
    <w:rsid w:val="005A5757"/>
    <w:rsid w:val="005A5C01"/>
    <w:rsid w:val="005A644F"/>
    <w:rsid w:val="005A64C9"/>
    <w:rsid w:val="005A708A"/>
    <w:rsid w:val="005A78D8"/>
    <w:rsid w:val="005A7BFD"/>
    <w:rsid w:val="005B08FD"/>
    <w:rsid w:val="005B3E7C"/>
    <w:rsid w:val="005B72B4"/>
    <w:rsid w:val="005C0317"/>
    <w:rsid w:val="005C1B5B"/>
    <w:rsid w:val="005C21D6"/>
    <w:rsid w:val="005C2599"/>
    <w:rsid w:val="005C2676"/>
    <w:rsid w:val="005C3827"/>
    <w:rsid w:val="005C4334"/>
    <w:rsid w:val="005C4887"/>
    <w:rsid w:val="005C4A5D"/>
    <w:rsid w:val="005C55D4"/>
    <w:rsid w:val="005C5CFC"/>
    <w:rsid w:val="005C620B"/>
    <w:rsid w:val="005C665C"/>
    <w:rsid w:val="005C7B27"/>
    <w:rsid w:val="005C7C9A"/>
    <w:rsid w:val="005C7F32"/>
    <w:rsid w:val="005D00D4"/>
    <w:rsid w:val="005D1E19"/>
    <w:rsid w:val="005D498F"/>
    <w:rsid w:val="005D4C0B"/>
    <w:rsid w:val="005D592F"/>
    <w:rsid w:val="005D5C94"/>
    <w:rsid w:val="005D5F4B"/>
    <w:rsid w:val="005D61E0"/>
    <w:rsid w:val="005E0320"/>
    <w:rsid w:val="005E2D88"/>
    <w:rsid w:val="005E3D7E"/>
    <w:rsid w:val="005E4066"/>
    <w:rsid w:val="005E4432"/>
    <w:rsid w:val="005E4A14"/>
    <w:rsid w:val="005E58BF"/>
    <w:rsid w:val="005E6AE1"/>
    <w:rsid w:val="005E795F"/>
    <w:rsid w:val="005F0471"/>
    <w:rsid w:val="005F09CD"/>
    <w:rsid w:val="005F100D"/>
    <w:rsid w:val="005F385C"/>
    <w:rsid w:val="005F4F6A"/>
    <w:rsid w:val="005F5261"/>
    <w:rsid w:val="005F61AC"/>
    <w:rsid w:val="005F6825"/>
    <w:rsid w:val="005F691A"/>
    <w:rsid w:val="005F6C33"/>
    <w:rsid w:val="005F73B1"/>
    <w:rsid w:val="005F7D1E"/>
    <w:rsid w:val="006016B5"/>
    <w:rsid w:val="00602115"/>
    <w:rsid w:val="00602250"/>
    <w:rsid w:val="00602690"/>
    <w:rsid w:val="00602E0A"/>
    <w:rsid w:val="006030C1"/>
    <w:rsid w:val="00603DD4"/>
    <w:rsid w:val="0060449F"/>
    <w:rsid w:val="00605C0A"/>
    <w:rsid w:val="0060692F"/>
    <w:rsid w:val="006076B5"/>
    <w:rsid w:val="006108CF"/>
    <w:rsid w:val="006129C2"/>
    <w:rsid w:val="006138AD"/>
    <w:rsid w:val="006141BB"/>
    <w:rsid w:val="006144CB"/>
    <w:rsid w:val="0061451B"/>
    <w:rsid w:val="00614577"/>
    <w:rsid w:val="00615DE3"/>
    <w:rsid w:val="00616D26"/>
    <w:rsid w:val="006200E0"/>
    <w:rsid w:val="00620CD0"/>
    <w:rsid w:val="00620E0A"/>
    <w:rsid w:val="00620E72"/>
    <w:rsid w:val="006212FE"/>
    <w:rsid w:val="00621787"/>
    <w:rsid w:val="006226DB"/>
    <w:rsid w:val="006236FA"/>
    <w:rsid w:val="00624039"/>
    <w:rsid w:val="00624264"/>
    <w:rsid w:val="006244D4"/>
    <w:rsid w:val="00624692"/>
    <w:rsid w:val="00625580"/>
    <w:rsid w:val="0062575A"/>
    <w:rsid w:val="00625A77"/>
    <w:rsid w:val="00627154"/>
    <w:rsid w:val="006307B1"/>
    <w:rsid w:val="00630B18"/>
    <w:rsid w:val="006310AF"/>
    <w:rsid w:val="006311E9"/>
    <w:rsid w:val="0063194D"/>
    <w:rsid w:val="00632642"/>
    <w:rsid w:val="006330EA"/>
    <w:rsid w:val="00634066"/>
    <w:rsid w:val="006340AF"/>
    <w:rsid w:val="006341C6"/>
    <w:rsid w:val="00634724"/>
    <w:rsid w:val="00635CD9"/>
    <w:rsid w:val="006369DB"/>
    <w:rsid w:val="00636D51"/>
    <w:rsid w:val="00636DE8"/>
    <w:rsid w:val="00636F37"/>
    <w:rsid w:val="0064107B"/>
    <w:rsid w:val="0064190F"/>
    <w:rsid w:val="00642C73"/>
    <w:rsid w:val="00642FAE"/>
    <w:rsid w:val="006431D5"/>
    <w:rsid w:val="00643F7F"/>
    <w:rsid w:val="00644248"/>
    <w:rsid w:val="00644593"/>
    <w:rsid w:val="00644731"/>
    <w:rsid w:val="00645416"/>
    <w:rsid w:val="00645A95"/>
    <w:rsid w:val="00646C59"/>
    <w:rsid w:val="00647BD4"/>
    <w:rsid w:val="00647D36"/>
    <w:rsid w:val="00647F69"/>
    <w:rsid w:val="0065188D"/>
    <w:rsid w:val="0065290E"/>
    <w:rsid w:val="00653001"/>
    <w:rsid w:val="006567B9"/>
    <w:rsid w:val="00656B2A"/>
    <w:rsid w:val="00656CDC"/>
    <w:rsid w:val="00657039"/>
    <w:rsid w:val="006573B6"/>
    <w:rsid w:val="00657442"/>
    <w:rsid w:val="00657543"/>
    <w:rsid w:val="00661091"/>
    <w:rsid w:val="00661D77"/>
    <w:rsid w:val="00662C5A"/>
    <w:rsid w:val="00664A32"/>
    <w:rsid w:val="00665E83"/>
    <w:rsid w:val="00666126"/>
    <w:rsid w:val="006661C6"/>
    <w:rsid w:val="00666AE0"/>
    <w:rsid w:val="0066743E"/>
    <w:rsid w:val="0066759E"/>
    <w:rsid w:val="00671021"/>
    <w:rsid w:val="006715B7"/>
    <w:rsid w:val="0067181B"/>
    <w:rsid w:val="00671AEE"/>
    <w:rsid w:val="00671DE1"/>
    <w:rsid w:val="00672316"/>
    <w:rsid w:val="0067324B"/>
    <w:rsid w:val="00673773"/>
    <w:rsid w:val="00673CC0"/>
    <w:rsid w:val="00675447"/>
    <w:rsid w:val="00677095"/>
    <w:rsid w:val="00680292"/>
    <w:rsid w:val="006813A8"/>
    <w:rsid w:val="00682ABE"/>
    <w:rsid w:val="00682C68"/>
    <w:rsid w:val="0068440B"/>
    <w:rsid w:val="006847EB"/>
    <w:rsid w:val="00685A0B"/>
    <w:rsid w:val="006860F0"/>
    <w:rsid w:val="00686DB8"/>
    <w:rsid w:val="00687A65"/>
    <w:rsid w:val="006906DE"/>
    <w:rsid w:val="00690C38"/>
    <w:rsid w:val="0069249D"/>
    <w:rsid w:val="006927C8"/>
    <w:rsid w:val="00692F44"/>
    <w:rsid w:val="00694BCF"/>
    <w:rsid w:val="00694E9C"/>
    <w:rsid w:val="0069527D"/>
    <w:rsid w:val="006954E4"/>
    <w:rsid w:val="006961CF"/>
    <w:rsid w:val="006961E0"/>
    <w:rsid w:val="00696663"/>
    <w:rsid w:val="00696FB9"/>
    <w:rsid w:val="006970B6"/>
    <w:rsid w:val="00697C9D"/>
    <w:rsid w:val="00697E1A"/>
    <w:rsid w:val="006A1D19"/>
    <w:rsid w:val="006A1D98"/>
    <w:rsid w:val="006A2C23"/>
    <w:rsid w:val="006A4084"/>
    <w:rsid w:val="006A4D06"/>
    <w:rsid w:val="006A52E6"/>
    <w:rsid w:val="006A564C"/>
    <w:rsid w:val="006A6B06"/>
    <w:rsid w:val="006A6BC2"/>
    <w:rsid w:val="006A7A67"/>
    <w:rsid w:val="006A7C99"/>
    <w:rsid w:val="006B00CA"/>
    <w:rsid w:val="006B0FD4"/>
    <w:rsid w:val="006B2202"/>
    <w:rsid w:val="006B2EE2"/>
    <w:rsid w:val="006B33C4"/>
    <w:rsid w:val="006B5646"/>
    <w:rsid w:val="006B65AD"/>
    <w:rsid w:val="006B76B7"/>
    <w:rsid w:val="006B76D2"/>
    <w:rsid w:val="006C0729"/>
    <w:rsid w:val="006C0AD0"/>
    <w:rsid w:val="006C221B"/>
    <w:rsid w:val="006C27ED"/>
    <w:rsid w:val="006C28AC"/>
    <w:rsid w:val="006C2C4B"/>
    <w:rsid w:val="006C30E6"/>
    <w:rsid w:val="006C35E8"/>
    <w:rsid w:val="006C3932"/>
    <w:rsid w:val="006C6C36"/>
    <w:rsid w:val="006C73D9"/>
    <w:rsid w:val="006C747C"/>
    <w:rsid w:val="006C7A12"/>
    <w:rsid w:val="006D0CB3"/>
    <w:rsid w:val="006D25A0"/>
    <w:rsid w:val="006D26AB"/>
    <w:rsid w:val="006D2C64"/>
    <w:rsid w:val="006D2E3B"/>
    <w:rsid w:val="006D2FB5"/>
    <w:rsid w:val="006D3CC4"/>
    <w:rsid w:val="006D3F3A"/>
    <w:rsid w:val="006D5561"/>
    <w:rsid w:val="006D5B77"/>
    <w:rsid w:val="006D5D4A"/>
    <w:rsid w:val="006D63AA"/>
    <w:rsid w:val="006D682B"/>
    <w:rsid w:val="006D69C1"/>
    <w:rsid w:val="006D73FC"/>
    <w:rsid w:val="006D76C9"/>
    <w:rsid w:val="006D7E11"/>
    <w:rsid w:val="006D7E7E"/>
    <w:rsid w:val="006E03D2"/>
    <w:rsid w:val="006E0E90"/>
    <w:rsid w:val="006E44B1"/>
    <w:rsid w:val="006E4E6C"/>
    <w:rsid w:val="006E546C"/>
    <w:rsid w:val="006E5AC7"/>
    <w:rsid w:val="006E5BED"/>
    <w:rsid w:val="006E5CFA"/>
    <w:rsid w:val="006E64BD"/>
    <w:rsid w:val="006E6798"/>
    <w:rsid w:val="006E6D71"/>
    <w:rsid w:val="006F1E08"/>
    <w:rsid w:val="006F1F26"/>
    <w:rsid w:val="006F2356"/>
    <w:rsid w:val="006F2DCF"/>
    <w:rsid w:val="006F4482"/>
    <w:rsid w:val="006F50AF"/>
    <w:rsid w:val="006F540A"/>
    <w:rsid w:val="006F58BB"/>
    <w:rsid w:val="006F6136"/>
    <w:rsid w:val="006F648E"/>
    <w:rsid w:val="006F6F68"/>
    <w:rsid w:val="006F6F71"/>
    <w:rsid w:val="00700731"/>
    <w:rsid w:val="00700E4E"/>
    <w:rsid w:val="00701220"/>
    <w:rsid w:val="0070150A"/>
    <w:rsid w:val="0070165A"/>
    <w:rsid w:val="00701977"/>
    <w:rsid w:val="0070228F"/>
    <w:rsid w:val="007027CA"/>
    <w:rsid w:val="00704015"/>
    <w:rsid w:val="00704042"/>
    <w:rsid w:val="00704BA5"/>
    <w:rsid w:val="00704D1E"/>
    <w:rsid w:val="00705049"/>
    <w:rsid w:val="00705365"/>
    <w:rsid w:val="00707B05"/>
    <w:rsid w:val="00707CA1"/>
    <w:rsid w:val="00707DB9"/>
    <w:rsid w:val="007102B3"/>
    <w:rsid w:val="0071130F"/>
    <w:rsid w:val="007114EE"/>
    <w:rsid w:val="00711845"/>
    <w:rsid w:val="007126B4"/>
    <w:rsid w:val="0071353F"/>
    <w:rsid w:val="00713DA2"/>
    <w:rsid w:val="00715249"/>
    <w:rsid w:val="00715B03"/>
    <w:rsid w:val="00715D06"/>
    <w:rsid w:val="00715E7A"/>
    <w:rsid w:val="00716015"/>
    <w:rsid w:val="007161E3"/>
    <w:rsid w:val="0071639C"/>
    <w:rsid w:val="007175E4"/>
    <w:rsid w:val="00720991"/>
    <w:rsid w:val="00720DBA"/>
    <w:rsid w:val="007213D7"/>
    <w:rsid w:val="00721702"/>
    <w:rsid w:val="0072193A"/>
    <w:rsid w:val="00721DD3"/>
    <w:rsid w:val="00722247"/>
    <w:rsid w:val="0072236F"/>
    <w:rsid w:val="0072278F"/>
    <w:rsid w:val="00724F45"/>
    <w:rsid w:val="00725697"/>
    <w:rsid w:val="007307E3"/>
    <w:rsid w:val="0073177E"/>
    <w:rsid w:val="007318F0"/>
    <w:rsid w:val="00732533"/>
    <w:rsid w:val="007328D7"/>
    <w:rsid w:val="007339C1"/>
    <w:rsid w:val="007344C7"/>
    <w:rsid w:val="0073461D"/>
    <w:rsid w:val="007346F4"/>
    <w:rsid w:val="007347E2"/>
    <w:rsid w:val="00734B50"/>
    <w:rsid w:val="00735010"/>
    <w:rsid w:val="00735E0F"/>
    <w:rsid w:val="0073630D"/>
    <w:rsid w:val="00736E8A"/>
    <w:rsid w:val="0073734C"/>
    <w:rsid w:val="00737FDE"/>
    <w:rsid w:val="00740026"/>
    <w:rsid w:val="007416D4"/>
    <w:rsid w:val="0074186F"/>
    <w:rsid w:val="00741C2E"/>
    <w:rsid w:val="00743F19"/>
    <w:rsid w:val="007446B6"/>
    <w:rsid w:val="00745172"/>
    <w:rsid w:val="00745195"/>
    <w:rsid w:val="007474F9"/>
    <w:rsid w:val="007474FB"/>
    <w:rsid w:val="00751165"/>
    <w:rsid w:val="00751A3C"/>
    <w:rsid w:val="0075214D"/>
    <w:rsid w:val="007522C5"/>
    <w:rsid w:val="0075241E"/>
    <w:rsid w:val="007526B5"/>
    <w:rsid w:val="00752CC7"/>
    <w:rsid w:val="00752DB9"/>
    <w:rsid w:val="0075391F"/>
    <w:rsid w:val="00754521"/>
    <w:rsid w:val="007545C4"/>
    <w:rsid w:val="00754F8F"/>
    <w:rsid w:val="00755038"/>
    <w:rsid w:val="0075717A"/>
    <w:rsid w:val="00757B59"/>
    <w:rsid w:val="00757F5E"/>
    <w:rsid w:val="0076057E"/>
    <w:rsid w:val="00760636"/>
    <w:rsid w:val="00760DBA"/>
    <w:rsid w:val="007621CC"/>
    <w:rsid w:val="00763381"/>
    <w:rsid w:val="0076398A"/>
    <w:rsid w:val="00764FBE"/>
    <w:rsid w:val="007653E3"/>
    <w:rsid w:val="007657D8"/>
    <w:rsid w:val="0076595E"/>
    <w:rsid w:val="0076612F"/>
    <w:rsid w:val="007666C0"/>
    <w:rsid w:val="00766D3E"/>
    <w:rsid w:val="00766E81"/>
    <w:rsid w:val="00766E83"/>
    <w:rsid w:val="0077040D"/>
    <w:rsid w:val="00774F8E"/>
    <w:rsid w:val="007756AB"/>
    <w:rsid w:val="007767BB"/>
    <w:rsid w:val="007767BC"/>
    <w:rsid w:val="007772F7"/>
    <w:rsid w:val="00777EA7"/>
    <w:rsid w:val="00780063"/>
    <w:rsid w:val="00780F65"/>
    <w:rsid w:val="00781F9F"/>
    <w:rsid w:val="00783860"/>
    <w:rsid w:val="0078406E"/>
    <w:rsid w:val="00784E63"/>
    <w:rsid w:val="007854FF"/>
    <w:rsid w:val="00785BB8"/>
    <w:rsid w:val="00785C01"/>
    <w:rsid w:val="0078655E"/>
    <w:rsid w:val="00786CC6"/>
    <w:rsid w:val="00787A99"/>
    <w:rsid w:val="007907B9"/>
    <w:rsid w:val="00791157"/>
    <w:rsid w:val="007929E5"/>
    <w:rsid w:val="00794613"/>
    <w:rsid w:val="00796C3D"/>
    <w:rsid w:val="00796E98"/>
    <w:rsid w:val="00797810"/>
    <w:rsid w:val="007A00B0"/>
    <w:rsid w:val="007A05B2"/>
    <w:rsid w:val="007A09BF"/>
    <w:rsid w:val="007A0A73"/>
    <w:rsid w:val="007A2FAB"/>
    <w:rsid w:val="007A3A41"/>
    <w:rsid w:val="007A3C77"/>
    <w:rsid w:val="007A42A7"/>
    <w:rsid w:val="007A7846"/>
    <w:rsid w:val="007A7C8B"/>
    <w:rsid w:val="007A7CC6"/>
    <w:rsid w:val="007B0993"/>
    <w:rsid w:val="007B09C6"/>
    <w:rsid w:val="007B0A42"/>
    <w:rsid w:val="007B28D9"/>
    <w:rsid w:val="007B33BE"/>
    <w:rsid w:val="007B3546"/>
    <w:rsid w:val="007B42F7"/>
    <w:rsid w:val="007B7213"/>
    <w:rsid w:val="007B76F5"/>
    <w:rsid w:val="007B7847"/>
    <w:rsid w:val="007C1007"/>
    <w:rsid w:val="007C133B"/>
    <w:rsid w:val="007C15B9"/>
    <w:rsid w:val="007C1DAD"/>
    <w:rsid w:val="007C23C6"/>
    <w:rsid w:val="007C3BBF"/>
    <w:rsid w:val="007C4493"/>
    <w:rsid w:val="007C5236"/>
    <w:rsid w:val="007C5B35"/>
    <w:rsid w:val="007C5C62"/>
    <w:rsid w:val="007C5DC2"/>
    <w:rsid w:val="007C6AD3"/>
    <w:rsid w:val="007C7BAD"/>
    <w:rsid w:val="007D11C6"/>
    <w:rsid w:val="007D2563"/>
    <w:rsid w:val="007D2C10"/>
    <w:rsid w:val="007D53FF"/>
    <w:rsid w:val="007D57B6"/>
    <w:rsid w:val="007D5967"/>
    <w:rsid w:val="007D5A43"/>
    <w:rsid w:val="007D67D9"/>
    <w:rsid w:val="007D722E"/>
    <w:rsid w:val="007D7726"/>
    <w:rsid w:val="007E0007"/>
    <w:rsid w:val="007E0665"/>
    <w:rsid w:val="007E0765"/>
    <w:rsid w:val="007E0F88"/>
    <w:rsid w:val="007E1665"/>
    <w:rsid w:val="007E1AE2"/>
    <w:rsid w:val="007E3838"/>
    <w:rsid w:val="007E3DB8"/>
    <w:rsid w:val="007E4D28"/>
    <w:rsid w:val="007E50C6"/>
    <w:rsid w:val="007E5973"/>
    <w:rsid w:val="007E72D6"/>
    <w:rsid w:val="007F1132"/>
    <w:rsid w:val="007F2556"/>
    <w:rsid w:val="007F2D30"/>
    <w:rsid w:val="007F34C5"/>
    <w:rsid w:val="007F36CE"/>
    <w:rsid w:val="007F36D1"/>
    <w:rsid w:val="007F3BCD"/>
    <w:rsid w:val="007F69C5"/>
    <w:rsid w:val="007F6BD2"/>
    <w:rsid w:val="007F7950"/>
    <w:rsid w:val="007F7E9C"/>
    <w:rsid w:val="00800286"/>
    <w:rsid w:val="00800447"/>
    <w:rsid w:val="00800C22"/>
    <w:rsid w:val="008017BE"/>
    <w:rsid w:val="00802302"/>
    <w:rsid w:val="00802DFC"/>
    <w:rsid w:val="00804C67"/>
    <w:rsid w:val="00804F03"/>
    <w:rsid w:val="00805E34"/>
    <w:rsid w:val="00805ED8"/>
    <w:rsid w:val="0080647D"/>
    <w:rsid w:val="008064AF"/>
    <w:rsid w:val="008069BC"/>
    <w:rsid w:val="00807151"/>
    <w:rsid w:val="008078D6"/>
    <w:rsid w:val="00807C6B"/>
    <w:rsid w:val="00810559"/>
    <w:rsid w:val="008110B8"/>
    <w:rsid w:val="00812E4E"/>
    <w:rsid w:val="0081335E"/>
    <w:rsid w:val="0081454E"/>
    <w:rsid w:val="008147DD"/>
    <w:rsid w:val="00815D1C"/>
    <w:rsid w:val="00816937"/>
    <w:rsid w:val="00820A13"/>
    <w:rsid w:val="00821FC3"/>
    <w:rsid w:val="00822E51"/>
    <w:rsid w:val="00823B3D"/>
    <w:rsid w:val="00823CB2"/>
    <w:rsid w:val="008242ED"/>
    <w:rsid w:val="00824835"/>
    <w:rsid w:val="00825035"/>
    <w:rsid w:val="00825AD2"/>
    <w:rsid w:val="0082660D"/>
    <w:rsid w:val="00826A7D"/>
    <w:rsid w:val="00826BD8"/>
    <w:rsid w:val="00826C8F"/>
    <w:rsid w:val="00826E1B"/>
    <w:rsid w:val="00832975"/>
    <w:rsid w:val="00832C9A"/>
    <w:rsid w:val="008332A1"/>
    <w:rsid w:val="008336D2"/>
    <w:rsid w:val="00836BDE"/>
    <w:rsid w:val="00840655"/>
    <w:rsid w:val="008414C5"/>
    <w:rsid w:val="00841672"/>
    <w:rsid w:val="0084172B"/>
    <w:rsid w:val="008417EF"/>
    <w:rsid w:val="00843061"/>
    <w:rsid w:val="0084394E"/>
    <w:rsid w:val="00846BE9"/>
    <w:rsid w:val="00847640"/>
    <w:rsid w:val="008478BA"/>
    <w:rsid w:val="00847A80"/>
    <w:rsid w:val="008509F8"/>
    <w:rsid w:val="008510F1"/>
    <w:rsid w:val="008514B9"/>
    <w:rsid w:val="008517B2"/>
    <w:rsid w:val="0085192E"/>
    <w:rsid w:val="008526E5"/>
    <w:rsid w:val="0085279F"/>
    <w:rsid w:val="00852C4A"/>
    <w:rsid w:val="00852D12"/>
    <w:rsid w:val="00852F78"/>
    <w:rsid w:val="0085516E"/>
    <w:rsid w:val="0085564F"/>
    <w:rsid w:val="00855D2E"/>
    <w:rsid w:val="00856EEE"/>
    <w:rsid w:val="008576DE"/>
    <w:rsid w:val="0085770A"/>
    <w:rsid w:val="00857BD6"/>
    <w:rsid w:val="00857FE0"/>
    <w:rsid w:val="00860424"/>
    <w:rsid w:val="00860D38"/>
    <w:rsid w:val="00861625"/>
    <w:rsid w:val="0086296B"/>
    <w:rsid w:val="0086310A"/>
    <w:rsid w:val="008636DC"/>
    <w:rsid w:val="0086531F"/>
    <w:rsid w:val="008653EC"/>
    <w:rsid w:val="008654A4"/>
    <w:rsid w:val="00865FCC"/>
    <w:rsid w:val="00866907"/>
    <w:rsid w:val="00866A9B"/>
    <w:rsid w:val="00866E15"/>
    <w:rsid w:val="00866FC3"/>
    <w:rsid w:val="00867112"/>
    <w:rsid w:val="00871649"/>
    <w:rsid w:val="00872BA6"/>
    <w:rsid w:val="00874103"/>
    <w:rsid w:val="0087562C"/>
    <w:rsid w:val="00875956"/>
    <w:rsid w:val="00876718"/>
    <w:rsid w:val="0088018B"/>
    <w:rsid w:val="008807A6"/>
    <w:rsid w:val="00880C68"/>
    <w:rsid w:val="00881924"/>
    <w:rsid w:val="00883309"/>
    <w:rsid w:val="00883722"/>
    <w:rsid w:val="0088415C"/>
    <w:rsid w:val="008859BA"/>
    <w:rsid w:val="00890E4E"/>
    <w:rsid w:val="008911AE"/>
    <w:rsid w:val="00891547"/>
    <w:rsid w:val="0089169C"/>
    <w:rsid w:val="00892CF3"/>
    <w:rsid w:val="00893362"/>
    <w:rsid w:val="00893637"/>
    <w:rsid w:val="00893921"/>
    <w:rsid w:val="0089398D"/>
    <w:rsid w:val="00893DDF"/>
    <w:rsid w:val="008946FB"/>
    <w:rsid w:val="0089592F"/>
    <w:rsid w:val="00895AA9"/>
    <w:rsid w:val="00895AB6"/>
    <w:rsid w:val="008973E0"/>
    <w:rsid w:val="008A0644"/>
    <w:rsid w:val="008A0FD2"/>
    <w:rsid w:val="008A14AC"/>
    <w:rsid w:val="008A175E"/>
    <w:rsid w:val="008A1DD3"/>
    <w:rsid w:val="008A33FF"/>
    <w:rsid w:val="008A38C4"/>
    <w:rsid w:val="008A41E6"/>
    <w:rsid w:val="008A53DA"/>
    <w:rsid w:val="008A56E4"/>
    <w:rsid w:val="008A5813"/>
    <w:rsid w:val="008A59B7"/>
    <w:rsid w:val="008A62FE"/>
    <w:rsid w:val="008A64AA"/>
    <w:rsid w:val="008A6740"/>
    <w:rsid w:val="008A6D65"/>
    <w:rsid w:val="008A7324"/>
    <w:rsid w:val="008A7761"/>
    <w:rsid w:val="008B0C5E"/>
    <w:rsid w:val="008B1714"/>
    <w:rsid w:val="008B6684"/>
    <w:rsid w:val="008B7925"/>
    <w:rsid w:val="008C1D52"/>
    <w:rsid w:val="008C26FC"/>
    <w:rsid w:val="008C2B4C"/>
    <w:rsid w:val="008C30C9"/>
    <w:rsid w:val="008C3BA4"/>
    <w:rsid w:val="008C466B"/>
    <w:rsid w:val="008C5287"/>
    <w:rsid w:val="008C5592"/>
    <w:rsid w:val="008C5F59"/>
    <w:rsid w:val="008C6035"/>
    <w:rsid w:val="008C6312"/>
    <w:rsid w:val="008C6A3F"/>
    <w:rsid w:val="008C6DF2"/>
    <w:rsid w:val="008C6F70"/>
    <w:rsid w:val="008C7390"/>
    <w:rsid w:val="008D0D13"/>
    <w:rsid w:val="008D114D"/>
    <w:rsid w:val="008D216D"/>
    <w:rsid w:val="008D21B1"/>
    <w:rsid w:val="008D3463"/>
    <w:rsid w:val="008D3D0D"/>
    <w:rsid w:val="008D537C"/>
    <w:rsid w:val="008D5D3B"/>
    <w:rsid w:val="008D65CA"/>
    <w:rsid w:val="008D69CD"/>
    <w:rsid w:val="008D6A15"/>
    <w:rsid w:val="008D7374"/>
    <w:rsid w:val="008D7BA2"/>
    <w:rsid w:val="008D7FD6"/>
    <w:rsid w:val="008E0162"/>
    <w:rsid w:val="008E0235"/>
    <w:rsid w:val="008E11A2"/>
    <w:rsid w:val="008E17D0"/>
    <w:rsid w:val="008E198D"/>
    <w:rsid w:val="008E29F8"/>
    <w:rsid w:val="008E2A4E"/>
    <w:rsid w:val="008E2A53"/>
    <w:rsid w:val="008E4B5E"/>
    <w:rsid w:val="008E589A"/>
    <w:rsid w:val="008E58B5"/>
    <w:rsid w:val="008E6F85"/>
    <w:rsid w:val="008E7041"/>
    <w:rsid w:val="008E7268"/>
    <w:rsid w:val="008E78E2"/>
    <w:rsid w:val="008F032B"/>
    <w:rsid w:val="008F0474"/>
    <w:rsid w:val="008F1323"/>
    <w:rsid w:val="008F1413"/>
    <w:rsid w:val="008F32CF"/>
    <w:rsid w:val="008F3702"/>
    <w:rsid w:val="008F38B8"/>
    <w:rsid w:val="008F47E9"/>
    <w:rsid w:val="008F5BCE"/>
    <w:rsid w:val="008F6218"/>
    <w:rsid w:val="008F6C16"/>
    <w:rsid w:val="008F6D7E"/>
    <w:rsid w:val="008F75CD"/>
    <w:rsid w:val="008F7EE5"/>
    <w:rsid w:val="008F97B2"/>
    <w:rsid w:val="009000A5"/>
    <w:rsid w:val="00900415"/>
    <w:rsid w:val="00900456"/>
    <w:rsid w:val="00900687"/>
    <w:rsid w:val="0090178C"/>
    <w:rsid w:val="00901D27"/>
    <w:rsid w:val="009021F6"/>
    <w:rsid w:val="0090390B"/>
    <w:rsid w:val="0090419C"/>
    <w:rsid w:val="0090712A"/>
    <w:rsid w:val="00907A67"/>
    <w:rsid w:val="0091048E"/>
    <w:rsid w:val="00911582"/>
    <w:rsid w:val="0091422B"/>
    <w:rsid w:val="00914E00"/>
    <w:rsid w:val="00915BF7"/>
    <w:rsid w:val="009167FD"/>
    <w:rsid w:val="0091779C"/>
    <w:rsid w:val="00917F3C"/>
    <w:rsid w:val="0092025E"/>
    <w:rsid w:val="0092096A"/>
    <w:rsid w:val="0092237A"/>
    <w:rsid w:val="00923C84"/>
    <w:rsid w:val="0092425E"/>
    <w:rsid w:val="00924347"/>
    <w:rsid w:val="00924518"/>
    <w:rsid w:val="00924880"/>
    <w:rsid w:val="00924CD8"/>
    <w:rsid w:val="00924DF5"/>
    <w:rsid w:val="00924EEC"/>
    <w:rsid w:val="0092525A"/>
    <w:rsid w:val="00925274"/>
    <w:rsid w:val="00925B8F"/>
    <w:rsid w:val="00925C3F"/>
    <w:rsid w:val="009264A5"/>
    <w:rsid w:val="0092786A"/>
    <w:rsid w:val="009308AF"/>
    <w:rsid w:val="00930FB3"/>
    <w:rsid w:val="00931FC5"/>
    <w:rsid w:val="009320D7"/>
    <w:rsid w:val="009328DB"/>
    <w:rsid w:val="00932EE3"/>
    <w:rsid w:val="009335E7"/>
    <w:rsid w:val="0093476D"/>
    <w:rsid w:val="00935F49"/>
    <w:rsid w:val="00937C94"/>
    <w:rsid w:val="00937DFE"/>
    <w:rsid w:val="009403DD"/>
    <w:rsid w:val="00940453"/>
    <w:rsid w:val="00940A39"/>
    <w:rsid w:val="0094158D"/>
    <w:rsid w:val="009436C1"/>
    <w:rsid w:val="009457FE"/>
    <w:rsid w:val="00946106"/>
    <w:rsid w:val="0094668B"/>
    <w:rsid w:val="00946C66"/>
    <w:rsid w:val="00947622"/>
    <w:rsid w:val="009500C3"/>
    <w:rsid w:val="00950180"/>
    <w:rsid w:val="00950CF7"/>
    <w:rsid w:val="00951722"/>
    <w:rsid w:val="009527A5"/>
    <w:rsid w:val="0095362E"/>
    <w:rsid w:val="00953DD7"/>
    <w:rsid w:val="0095441B"/>
    <w:rsid w:val="009547D1"/>
    <w:rsid w:val="00954FF8"/>
    <w:rsid w:val="00956C83"/>
    <w:rsid w:val="00957344"/>
    <w:rsid w:val="009575A6"/>
    <w:rsid w:val="00957F67"/>
    <w:rsid w:val="009601D5"/>
    <w:rsid w:val="00960EE8"/>
    <w:rsid w:val="00961F0F"/>
    <w:rsid w:val="009624C7"/>
    <w:rsid w:val="00964055"/>
    <w:rsid w:val="00964723"/>
    <w:rsid w:val="00964AE5"/>
    <w:rsid w:val="009650F7"/>
    <w:rsid w:val="00965845"/>
    <w:rsid w:val="00965B64"/>
    <w:rsid w:val="00965DEF"/>
    <w:rsid w:val="009660A1"/>
    <w:rsid w:val="00967A68"/>
    <w:rsid w:val="00967BBB"/>
    <w:rsid w:val="00970669"/>
    <w:rsid w:val="00971404"/>
    <w:rsid w:val="0097208B"/>
    <w:rsid w:val="009726B2"/>
    <w:rsid w:val="009738B7"/>
    <w:rsid w:val="00975904"/>
    <w:rsid w:val="0097639E"/>
    <w:rsid w:val="00976524"/>
    <w:rsid w:val="009765F4"/>
    <w:rsid w:val="00976C04"/>
    <w:rsid w:val="009773AC"/>
    <w:rsid w:val="00977B64"/>
    <w:rsid w:val="00977FC1"/>
    <w:rsid w:val="0098242D"/>
    <w:rsid w:val="0098335E"/>
    <w:rsid w:val="00983915"/>
    <w:rsid w:val="00983B2D"/>
    <w:rsid w:val="0098403B"/>
    <w:rsid w:val="00984AB6"/>
    <w:rsid w:val="00984B74"/>
    <w:rsid w:val="00985D9A"/>
    <w:rsid w:val="00985DCB"/>
    <w:rsid w:val="009871F9"/>
    <w:rsid w:val="00987350"/>
    <w:rsid w:val="009916BB"/>
    <w:rsid w:val="00991D53"/>
    <w:rsid w:val="009926BB"/>
    <w:rsid w:val="00992E29"/>
    <w:rsid w:val="009937D5"/>
    <w:rsid w:val="00993C0D"/>
    <w:rsid w:val="00993C9A"/>
    <w:rsid w:val="00993F3B"/>
    <w:rsid w:val="00994CEA"/>
    <w:rsid w:val="0099553A"/>
    <w:rsid w:val="00995FF3"/>
    <w:rsid w:val="009961BC"/>
    <w:rsid w:val="0099637C"/>
    <w:rsid w:val="00996485"/>
    <w:rsid w:val="00997B9A"/>
    <w:rsid w:val="009A11FE"/>
    <w:rsid w:val="009A140E"/>
    <w:rsid w:val="009A1649"/>
    <w:rsid w:val="009A2135"/>
    <w:rsid w:val="009A2EBD"/>
    <w:rsid w:val="009A4B7C"/>
    <w:rsid w:val="009A4BC9"/>
    <w:rsid w:val="009A57A6"/>
    <w:rsid w:val="009A5D17"/>
    <w:rsid w:val="009A63DA"/>
    <w:rsid w:val="009A7589"/>
    <w:rsid w:val="009A76C9"/>
    <w:rsid w:val="009A7753"/>
    <w:rsid w:val="009A7F1B"/>
    <w:rsid w:val="009B028E"/>
    <w:rsid w:val="009B0E84"/>
    <w:rsid w:val="009B1839"/>
    <w:rsid w:val="009B1844"/>
    <w:rsid w:val="009B305D"/>
    <w:rsid w:val="009B3F3F"/>
    <w:rsid w:val="009B43D3"/>
    <w:rsid w:val="009B46A8"/>
    <w:rsid w:val="009B4C5E"/>
    <w:rsid w:val="009B5793"/>
    <w:rsid w:val="009B603B"/>
    <w:rsid w:val="009B628E"/>
    <w:rsid w:val="009B6FE6"/>
    <w:rsid w:val="009B7935"/>
    <w:rsid w:val="009C20CE"/>
    <w:rsid w:val="009C29A2"/>
    <w:rsid w:val="009C3B2A"/>
    <w:rsid w:val="009C4326"/>
    <w:rsid w:val="009C4EDA"/>
    <w:rsid w:val="009C5208"/>
    <w:rsid w:val="009C5EF5"/>
    <w:rsid w:val="009C5F87"/>
    <w:rsid w:val="009C6EBC"/>
    <w:rsid w:val="009C7229"/>
    <w:rsid w:val="009C778F"/>
    <w:rsid w:val="009C7A6D"/>
    <w:rsid w:val="009C7B1A"/>
    <w:rsid w:val="009C7E62"/>
    <w:rsid w:val="009D026D"/>
    <w:rsid w:val="009D0341"/>
    <w:rsid w:val="009D1D0B"/>
    <w:rsid w:val="009D23F4"/>
    <w:rsid w:val="009D29C1"/>
    <w:rsid w:val="009D3489"/>
    <w:rsid w:val="009D34F1"/>
    <w:rsid w:val="009D3753"/>
    <w:rsid w:val="009D3BB2"/>
    <w:rsid w:val="009D4EAE"/>
    <w:rsid w:val="009D57BC"/>
    <w:rsid w:val="009D64DE"/>
    <w:rsid w:val="009E0C91"/>
    <w:rsid w:val="009E1265"/>
    <w:rsid w:val="009E2361"/>
    <w:rsid w:val="009E256D"/>
    <w:rsid w:val="009E2637"/>
    <w:rsid w:val="009E2D57"/>
    <w:rsid w:val="009E2E49"/>
    <w:rsid w:val="009E353E"/>
    <w:rsid w:val="009E4400"/>
    <w:rsid w:val="009E476F"/>
    <w:rsid w:val="009E4DDC"/>
    <w:rsid w:val="009E5208"/>
    <w:rsid w:val="009E5588"/>
    <w:rsid w:val="009E602F"/>
    <w:rsid w:val="009E6F14"/>
    <w:rsid w:val="009F0093"/>
    <w:rsid w:val="009F1904"/>
    <w:rsid w:val="009F1919"/>
    <w:rsid w:val="009F19C4"/>
    <w:rsid w:val="009F1FBC"/>
    <w:rsid w:val="009F2F7F"/>
    <w:rsid w:val="009F3244"/>
    <w:rsid w:val="009F4164"/>
    <w:rsid w:val="009F579C"/>
    <w:rsid w:val="009F64EC"/>
    <w:rsid w:val="009F667F"/>
    <w:rsid w:val="009F66CE"/>
    <w:rsid w:val="009F6DF0"/>
    <w:rsid w:val="009F7AF6"/>
    <w:rsid w:val="00A00C1C"/>
    <w:rsid w:val="00A00C8C"/>
    <w:rsid w:val="00A030D8"/>
    <w:rsid w:val="00A03D34"/>
    <w:rsid w:val="00A04966"/>
    <w:rsid w:val="00A04E82"/>
    <w:rsid w:val="00A06792"/>
    <w:rsid w:val="00A072C9"/>
    <w:rsid w:val="00A108BE"/>
    <w:rsid w:val="00A13032"/>
    <w:rsid w:val="00A135D3"/>
    <w:rsid w:val="00A15950"/>
    <w:rsid w:val="00A15FFD"/>
    <w:rsid w:val="00A16281"/>
    <w:rsid w:val="00A164B9"/>
    <w:rsid w:val="00A20606"/>
    <w:rsid w:val="00A2174B"/>
    <w:rsid w:val="00A219C9"/>
    <w:rsid w:val="00A22743"/>
    <w:rsid w:val="00A23BB5"/>
    <w:rsid w:val="00A256A3"/>
    <w:rsid w:val="00A261FF"/>
    <w:rsid w:val="00A277EA"/>
    <w:rsid w:val="00A279BD"/>
    <w:rsid w:val="00A279FE"/>
    <w:rsid w:val="00A27BB4"/>
    <w:rsid w:val="00A27ED4"/>
    <w:rsid w:val="00A307A9"/>
    <w:rsid w:val="00A32268"/>
    <w:rsid w:val="00A32405"/>
    <w:rsid w:val="00A32541"/>
    <w:rsid w:val="00A33816"/>
    <w:rsid w:val="00A33B18"/>
    <w:rsid w:val="00A344D4"/>
    <w:rsid w:val="00A34EC8"/>
    <w:rsid w:val="00A36966"/>
    <w:rsid w:val="00A36FA7"/>
    <w:rsid w:val="00A40724"/>
    <w:rsid w:val="00A409B5"/>
    <w:rsid w:val="00A41845"/>
    <w:rsid w:val="00A41BE0"/>
    <w:rsid w:val="00A41F48"/>
    <w:rsid w:val="00A428E1"/>
    <w:rsid w:val="00A42F7D"/>
    <w:rsid w:val="00A437CC"/>
    <w:rsid w:val="00A45779"/>
    <w:rsid w:val="00A45A34"/>
    <w:rsid w:val="00A45B91"/>
    <w:rsid w:val="00A4731E"/>
    <w:rsid w:val="00A519EA"/>
    <w:rsid w:val="00A530AF"/>
    <w:rsid w:val="00A538F5"/>
    <w:rsid w:val="00A53F45"/>
    <w:rsid w:val="00A54191"/>
    <w:rsid w:val="00A54A61"/>
    <w:rsid w:val="00A54BAE"/>
    <w:rsid w:val="00A54BC9"/>
    <w:rsid w:val="00A54FFD"/>
    <w:rsid w:val="00A55295"/>
    <w:rsid w:val="00A55CA8"/>
    <w:rsid w:val="00A56C99"/>
    <w:rsid w:val="00A6133E"/>
    <w:rsid w:val="00A615E7"/>
    <w:rsid w:val="00A616A5"/>
    <w:rsid w:val="00A61B0E"/>
    <w:rsid w:val="00A6252B"/>
    <w:rsid w:val="00A6263A"/>
    <w:rsid w:val="00A63065"/>
    <w:rsid w:val="00A6356D"/>
    <w:rsid w:val="00A66628"/>
    <w:rsid w:val="00A666D4"/>
    <w:rsid w:val="00A66BBC"/>
    <w:rsid w:val="00A71829"/>
    <w:rsid w:val="00A719A7"/>
    <w:rsid w:val="00A727CA"/>
    <w:rsid w:val="00A730F2"/>
    <w:rsid w:val="00A736D4"/>
    <w:rsid w:val="00A73B1F"/>
    <w:rsid w:val="00A73BC7"/>
    <w:rsid w:val="00A74EAF"/>
    <w:rsid w:val="00A7595D"/>
    <w:rsid w:val="00A779A7"/>
    <w:rsid w:val="00A80B06"/>
    <w:rsid w:val="00A81718"/>
    <w:rsid w:val="00A8251B"/>
    <w:rsid w:val="00A834F0"/>
    <w:rsid w:val="00A8351C"/>
    <w:rsid w:val="00A8524F"/>
    <w:rsid w:val="00A86447"/>
    <w:rsid w:val="00A867AC"/>
    <w:rsid w:val="00A86CF2"/>
    <w:rsid w:val="00A87B65"/>
    <w:rsid w:val="00A9009D"/>
    <w:rsid w:val="00A9020A"/>
    <w:rsid w:val="00A90479"/>
    <w:rsid w:val="00A90B29"/>
    <w:rsid w:val="00A92037"/>
    <w:rsid w:val="00A94107"/>
    <w:rsid w:val="00A952F2"/>
    <w:rsid w:val="00A95A22"/>
    <w:rsid w:val="00A9620D"/>
    <w:rsid w:val="00A963B2"/>
    <w:rsid w:val="00A969F8"/>
    <w:rsid w:val="00AA055C"/>
    <w:rsid w:val="00AA0897"/>
    <w:rsid w:val="00AA2321"/>
    <w:rsid w:val="00AA2E61"/>
    <w:rsid w:val="00AA2F91"/>
    <w:rsid w:val="00AA3C84"/>
    <w:rsid w:val="00AA3E48"/>
    <w:rsid w:val="00AA3F6C"/>
    <w:rsid w:val="00AA4788"/>
    <w:rsid w:val="00AA4AA2"/>
    <w:rsid w:val="00AA4D1A"/>
    <w:rsid w:val="00AA77CD"/>
    <w:rsid w:val="00AA7A02"/>
    <w:rsid w:val="00AA7F2E"/>
    <w:rsid w:val="00AB0106"/>
    <w:rsid w:val="00AB03EC"/>
    <w:rsid w:val="00AB072B"/>
    <w:rsid w:val="00AB0806"/>
    <w:rsid w:val="00AB0B5B"/>
    <w:rsid w:val="00AB1017"/>
    <w:rsid w:val="00AB1B4F"/>
    <w:rsid w:val="00AB2636"/>
    <w:rsid w:val="00AB28C6"/>
    <w:rsid w:val="00AB2FC5"/>
    <w:rsid w:val="00AB435D"/>
    <w:rsid w:val="00AB43B9"/>
    <w:rsid w:val="00AB4ABA"/>
    <w:rsid w:val="00AB4B01"/>
    <w:rsid w:val="00AB4E85"/>
    <w:rsid w:val="00AB57E7"/>
    <w:rsid w:val="00AB75E7"/>
    <w:rsid w:val="00AC0158"/>
    <w:rsid w:val="00AC0A5F"/>
    <w:rsid w:val="00AC23D3"/>
    <w:rsid w:val="00AC2FC7"/>
    <w:rsid w:val="00AC32AC"/>
    <w:rsid w:val="00AC34E6"/>
    <w:rsid w:val="00AC4A17"/>
    <w:rsid w:val="00AC4AAA"/>
    <w:rsid w:val="00AC4BFE"/>
    <w:rsid w:val="00AC5208"/>
    <w:rsid w:val="00AC7B98"/>
    <w:rsid w:val="00AD15AA"/>
    <w:rsid w:val="00AD2274"/>
    <w:rsid w:val="00AD24AF"/>
    <w:rsid w:val="00AD288E"/>
    <w:rsid w:val="00AD2B33"/>
    <w:rsid w:val="00AD37C2"/>
    <w:rsid w:val="00AD392B"/>
    <w:rsid w:val="00AD3E67"/>
    <w:rsid w:val="00AD45CB"/>
    <w:rsid w:val="00AD465D"/>
    <w:rsid w:val="00AD5687"/>
    <w:rsid w:val="00AD628B"/>
    <w:rsid w:val="00AD64F2"/>
    <w:rsid w:val="00AD709D"/>
    <w:rsid w:val="00AD759B"/>
    <w:rsid w:val="00AE0623"/>
    <w:rsid w:val="00AE138B"/>
    <w:rsid w:val="00AE143E"/>
    <w:rsid w:val="00AE1603"/>
    <w:rsid w:val="00AE2B56"/>
    <w:rsid w:val="00AE2C0C"/>
    <w:rsid w:val="00AE2D8D"/>
    <w:rsid w:val="00AE3243"/>
    <w:rsid w:val="00AE3830"/>
    <w:rsid w:val="00AE6477"/>
    <w:rsid w:val="00AE6DF0"/>
    <w:rsid w:val="00AE7147"/>
    <w:rsid w:val="00AE7C46"/>
    <w:rsid w:val="00AE7D9C"/>
    <w:rsid w:val="00AF0059"/>
    <w:rsid w:val="00AF01C9"/>
    <w:rsid w:val="00AF0436"/>
    <w:rsid w:val="00AF07E7"/>
    <w:rsid w:val="00AF14C6"/>
    <w:rsid w:val="00AF219E"/>
    <w:rsid w:val="00AF22DF"/>
    <w:rsid w:val="00AF3368"/>
    <w:rsid w:val="00AF3E97"/>
    <w:rsid w:val="00AF402F"/>
    <w:rsid w:val="00AF4629"/>
    <w:rsid w:val="00AF49EF"/>
    <w:rsid w:val="00AF4D78"/>
    <w:rsid w:val="00AF541A"/>
    <w:rsid w:val="00AF5741"/>
    <w:rsid w:val="00AF5D48"/>
    <w:rsid w:val="00AF5E51"/>
    <w:rsid w:val="00AF6028"/>
    <w:rsid w:val="00AF615C"/>
    <w:rsid w:val="00AF676E"/>
    <w:rsid w:val="00AF74D1"/>
    <w:rsid w:val="00B00D2A"/>
    <w:rsid w:val="00B01653"/>
    <w:rsid w:val="00B016C7"/>
    <w:rsid w:val="00B01F53"/>
    <w:rsid w:val="00B03941"/>
    <w:rsid w:val="00B04EF8"/>
    <w:rsid w:val="00B0547E"/>
    <w:rsid w:val="00B0629F"/>
    <w:rsid w:val="00B0707C"/>
    <w:rsid w:val="00B079AF"/>
    <w:rsid w:val="00B07F7F"/>
    <w:rsid w:val="00B104DE"/>
    <w:rsid w:val="00B11DF7"/>
    <w:rsid w:val="00B12477"/>
    <w:rsid w:val="00B132AE"/>
    <w:rsid w:val="00B1473F"/>
    <w:rsid w:val="00B15CCA"/>
    <w:rsid w:val="00B15FBC"/>
    <w:rsid w:val="00B16C3B"/>
    <w:rsid w:val="00B17E5B"/>
    <w:rsid w:val="00B20830"/>
    <w:rsid w:val="00B21837"/>
    <w:rsid w:val="00B2357F"/>
    <w:rsid w:val="00B23B89"/>
    <w:rsid w:val="00B25581"/>
    <w:rsid w:val="00B25986"/>
    <w:rsid w:val="00B266A0"/>
    <w:rsid w:val="00B26BB1"/>
    <w:rsid w:val="00B26D57"/>
    <w:rsid w:val="00B27BBE"/>
    <w:rsid w:val="00B27F52"/>
    <w:rsid w:val="00B31AD4"/>
    <w:rsid w:val="00B326C4"/>
    <w:rsid w:val="00B337AA"/>
    <w:rsid w:val="00B342DF"/>
    <w:rsid w:val="00B34B75"/>
    <w:rsid w:val="00B34C5B"/>
    <w:rsid w:val="00B3515B"/>
    <w:rsid w:val="00B351AE"/>
    <w:rsid w:val="00B35E49"/>
    <w:rsid w:val="00B36CCB"/>
    <w:rsid w:val="00B376C8"/>
    <w:rsid w:val="00B37706"/>
    <w:rsid w:val="00B3782F"/>
    <w:rsid w:val="00B40503"/>
    <w:rsid w:val="00B40615"/>
    <w:rsid w:val="00B40A86"/>
    <w:rsid w:val="00B40E46"/>
    <w:rsid w:val="00B41D31"/>
    <w:rsid w:val="00B4231E"/>
    <w:rsid w:val="00B42704"/>
    <w:rsid w:val="00B428E0"/>
    <w:rsid w:val="00B430EB"/>
    <w:rsid w:val="00B438AD"/>
    <w:rsid w:val="00B4424B"/>
    <w:rsid w:val="00B4475F"/>
    <w:rsid w:val="00B45BD9"/>
    <w:rsid w:val="00B4650B"/>
    <w:rsid w:val="00B4708A"/>
    <w:rsid w:val="00B50139"/>
    <w:rsid w:val="00B505F2"/>
    <w:rsid w:val="00B510FA"/>
    <w:rsid w:val="00B51E16"/>
    <w:rsid w:val="00B548AE"/>
    <w:rsid w:val="00B55A51"/>
    <w:rsid w:val="00B55C66"/>
    <w:rsid w:val="00B55D86"/>
    <w:rsid w:val="00B55E1A"/>
    <w:rsid w:val="00B573DB"/>
    <w:rsid w:val="00B57786"/>
    <w:rsid w:val="00B57D0D"/>
    <w:rsid w:val="00B60756"/>
    <w:rsid w:val="00B60DCD"/>
    <w:rsid w:val="00B614AF"/>
    <w:rsid w:val="00B6187B"/>
    <w:rsid w:val="00B62217"/>
    <w:rsid w:val="00B627DF"/>
    <w:rsid w:val="00B628C7"/>
    <w:rsid w:val="00B62BBC"/>
    <w:rsid w:val="00B64746"/>
    <w:rsid w:val="00B649DD"/>
    <w:rsid w:val="00B64CE9"/>
    <w:rsid w:val="00B6599C"/>
    <w:rsid w:val="00B65C89"/>
    <w:rsid w:val="00B700A0"/>
    <w:rsid w:val="00B702D8"/>
    <w:rsid w:val="00B70A10"/>
    <w:rsid w:val="00B70E76"/>
    <w:rsid w:val="00B71159"/>
    <w:rsid w:val="00B717DE"/>
    <w:rsid w:val="00B72CD7"/>
    <w:rsid w:val="00B72FAC"/>
    <w:rsid w:val="00B73977"/>
    <w:rsid w:val="00B73B1E"/>
    <w:rsid w:val="00B74500"/>
    <w:rsid w:val="00B74BE9"/>
    <w:rsid w:val="00B75263"/>
    <w:rsid w:val="00B76908"/>
    <w:rsid w:val="00B76A69"/>
    <w:rsid w:val="00B77E63"/>
    <w:rsid w:val="00B8055C"/>
    <w:rsid w:val="00B82011"/>
    <w:rsid w:val="00B820CC"/>
    <w:rsid w:val="00B827A1"/>
    <w:rsid w:val="00B82A07"/>
    <w:rsid w:val="00B82AC4"/>
    <w:rsid w:val="00B8393C"/>
    <w:rsid w:val="00B8463D"/>
    <w:rsid w:val="00B85DEA"/>
    <w:rsid w:val="00B902AA"/>
    <w:rsid w:val="00B9241D"/>
    <w:rsid w:val="00B93284"/>
    <w:rsid w:val="00B94448"/>
    <w:rsid w:val="00B95501"/>
    <w:rsid w:val="00B956BE"/>
    <w:rsid w:val="00B95EDE"/>
    <w:rsid w:val="00B9637B"/>
    <w:rsid w:val="00B96596"/>
    <w:rsid w:val="00B9706E"/>
    <w:rsid w:val="00B97448"/>
    <w:rsid w:val="00B97FAF"/>
    <w:rsid w:val="00BA17EF"/>
    <w:rsid w:val="00BA261E"/>
    <w:rsid w:val="00BA4438"/>
    <w:rsid w:val="00BA44B8"/>
    <w:rsid w:val="00BA470E"/>
    <w:rsid w:val="00BA525D"/>
    <w:rsid w:val="00BA652C"/>
    <w:rsid w:val="00BA7744"/>
    <w:rsid w:val="00BA785D"/>
    <w:rsid w:val="00BA7CFA"/>
    <w:rsid w:val="00BB09AA"/>
    <w:rsid w:val="00BB0F4F"/>
    <w:rsid w:val="00BB1350"/>
    <w:rsid w:val="00BB3145"/>
    <w:rsid w:val="00BB436F"/>
    <w:rsid w:val="00BB5693"/>
    <w:rsid w:val="00BB57EF"/>
    <w:rsid w:val="00BB57FD"/>
    <w:rsid w:val="00BB627D"/>
    <w:rsid w:val="00BB7511"/>
    <w:rsid w:val="00BB78B3"/>
    <w:rsid w:val="00BB7E9E"/>
    <w:rsid w:val="00BC1095"/>
    <w:rsid w:val="00BC176B"/>
    <w:rsid w:val="00BC2101"/>
    <w:rsid w:val="00BC23E1"/>
    <w:rsid w:val="00BC2B68"/>
    <w:rsid w:val="00BC3A57"/>
    <w:rsid w:val="00BC526A"/>
    <w:rsid w:val="00BC540A"/>
    <w:rsid w:val="00BC58C8"/>
    <w:rsid w:val="00BC5B71"/>
    <w:rsid w:val="00BC66F4"/>
    <w:rsid w:val="00BC6C05"/>
    <w:rsid w:val="00BD00F5"/>
    <w:rsid w:val="00BD02FB"/>
    <w:rsid w:val="00BD0BF4"/>
    <w:rsid w:val="00BD0F36"/>
    <w:rsid w:val="00BD0F5C"/>
    <w:rsid w:val="00BD388A"/>
    <w:rsid w:val="00BD3D2C"/>
    <w:rsid w:val="00BD3F23"/>
    <w:rsid w:val="00BD4904"/>
    <w:rsid w:val="00BD5532"/>
    <w:rsid w:val="00BD6135"/>
    <w:rsid w:val="00BD674B"/>
    <w:rsid w:val="00BD68F7"/>
    <w:rsid w:val="00BD6EC6"/>
    <w:rsid w:val="00BD749B"/>
    <w:rsid w:val="00BD74CC"/>
    <w:rsid w:val="00BE0C6B"/>
    <w:rsid w:val="00BE17F4"/>
    <w:rsid w:val="00BE1B87"/>
    <w:rsid w:val="00BE2F16"/>
    <w:rsid w:val="00BE313B"/>
    <w:rsid w:val="00BE400D"/>
    <w:rsid w:val="00BE4F45"/>
    <w:rsid w:val="00BE5192"/>
    <w:rsid w:val="00BE5536"/>
    <w:rsid w:val="00BE5DE9"/>
    <w:rsid w:val="00BE679C"/>
    <w:rsid w:val="00BE6F8F"/>
    <w:rsid w:val="00BE736D"/>
    <w:rsid w:val="00BE77A0"/>
    <w:rsid w:val="00BE7830"/>
    <w:rsid w:val="00BF07D1"/>
    <w:rsid w:val="00BF0E83"/>
    <w:rsid w:val="00BF247B"/>
    <w:rsid w:val="00BF2657"/>
    <w:rsid w:val="00BF3856"/>
    <w:rsid w:val="00BF3DE3"/>
    <w:rsid w:val="00BF42D5"/>
    <w:rsid w:val="00BF5924"/>
    <w:rsid w:val="00BF6C50"/>
    <w:rsid w:val="00BF6DD9"/>
    <w:rsid w:val="00C014EC"/>
    <w:rsid w:val="00C01A02"/>
    <w:rsid w:val="00C01D9C"/>
    <w:rsid w:val="00C021DB"/>
    <w:rsid w:val="00C02D3A"/>
    <w:rsid w:val="00C03040"/>
    <w:rsid w:val="00C0433A"/>
    <w:rsid w:val="00C05D0E"/>
    <w:rsid w:val="00C10735"/>
    <w:rsid w:val="00C10EFA"/>
    <w:rsid w:val="00C11778"/>
    <w:rsid w:val="00C11E6A"/>
    <w:rsid w:val="00C124BF"/>
    <w:rsid w:val="00C12739"/>
    <w:rsid w:val="00C127AC"/>
    <w:rsid w:val="00C130CB"/>
    <w:rsid w:val="00C13F8F"/>
    <w:rsid w:val="00C14699"/>
    <w:rsid w:val="00C14AF3"/>
    <w:rsid w:val="00C1503A"/>
    <w:rsid w:val="00C16F9E"/>
    <w:rsid w:val="00C172FB"/>
    <w:rsid w:val="00C1787A"/>
    <w:rsid w:val="00C20229"/>
    <w:rsid w:val="00C20257"/>
    <w:rsid w:val="00C20719"/>
    <w:rsid w:val="00C2090F"/>
    <w:rsid w:val="00C214E1"/>
    <w:rsid w:val="00C215F1"/>
    <w:rsid w:val="00C21E2B"/>
    <w:rsid w:val="00C22189"/>
    <w:rsid w:val="00C23B2D"/>
    <w:rsid w:val="00C23C14"/>
    <w:rsid w:val="00C23C79"/>
    <w:rsid w:val="00C24C49"/>
    <w:rsid w:val="00C250E1"/>
    <w:rsid w:val="00C25790"/>
    <w:rsid w:val="00C25C1D"/>
    <w:rsid w:val="00C3112E"/>
    <w:rsid w:val="00C32101"/>
    <w:rsid w:val="00C32B2E"/>
    <w:rsid w:val="00C33764"/>
    <w:rsid w:val="00C34AAC"/>
    <w:rsid w:val="00C34E08"/>
    <w:rsid w:val="00C35E98"/>
    <w:rsid w:val="00C36580"/>
    <w:rsid w:val="00C40AB1"/>
    <w:rsid w:val="00C4120C"/>
    <w:rsid w:val="00C416FD"/>
    <w:rsid w:val="00C445F6"/>
    <w:rsid w:val="00C445F8"/>
    <w:rsid w:val="00C454D0"/>
    <w:rsid w:val="00C461D3"/>
    <w:rsid w:val="00C47D4C"/>
    <w:rsid w:val="00C506B7"/>
    <w:rsid w:val="00C506D2"/>
    <w:rsid w:val="00C51355"/>
    <w:rsid w:val="00C538BA"/>
    <w:rsid w:val="00C54840"/>
    <w:rsid w:val="00C54B1E"/>
    <w:rsid w:val="00C54EE8"/>
    <w:rsid w:val="00C558DB"/>
    <w:rsid w:val="00C55B87"/>
    <w:rsid w:val="00C5695F"/>
    <w:rsid w:val="00C57061"/>
    <w:rsid w:val="00C577AC"/>
    <w:rsid w:val="00C60B98"/>
    <w:rsid w:val="00C6208A"/>
    <w:rsid w:val="00C621B9"/>
    <w:rsid w:val="00C625C9"/>
    <w:rsid w:val="00C62C5F"/>
    <w:rsid w:val="00C641B8"/>
    <w:rsid w:val="00C64414"/>
    <w:rsid w:val="00C657B5"/>
    <w:rsid w:val="00C665ED"/>
    <w:rsid w:val="00C672B9"/>
    <w:rsid w:val="00C672D2"/>
    <w:rsid w:val="00C67474"/>
    <w:rsid w:val="00C676BF"/>
    <w:rsid w:val="00C67CAE"/>
    <w:rsid w:val="00C701C4"/>
    <w:rsid w:val="00C7038A"/>
    <w:rsid w:val="00C71D21"/>
    <w:rsid w:val="00C74449"/>
    <w:rsid w:val="00C7625E"/>
    <w:rsid w:val="00C76489"/>
    <w:rsid w:val="00C7688D"/>
    <w:rsid w:val="00C77D11"/>
    <w:rsid w:val="00C805CA"/>
    <w:rsid w:val="00C8131C"/>
    <w:rsid w:val="00C81679"/>
    <w:rsid w:val="00C843E4"/>
    <w:rsid w:val="00C84F48"/>
    <w:rsid w:val="00C850BF"/>
    <w:rsid w:val="00C8695A"/>
    <w:rsid w:val="00C87780"/>
    <w:rsid w:val="00C908CA"/>
    <w:rsid w:val="00C91F6B"/>
    <w:rsid w:val="00C93E8C"/>
    <w:rsid w:val="00C94B0D"/>
    <w:rsid w:val="00C957B7"/>
    <w:rsid w:val="00C958A2"/>
    <w:rsid w:val="00C95981"/>
    <w:rsid w:val="00C960C8"/>
    <w:rsid w:val="00C96119"/>
    <w:rsid w:val="00C96FC1"/>
    <w:rsid w:val="00CA00B4"/>
    <w:rsid w:val="00CA011D"/>
    <w:rsid w:val="00CA0B6C"/>
    <w:rsid w:val="00CA0DE1"/>
    <w:rsid w:val="00CA13B4"/>
    <w:rsid w:val="00CA26AD"/>
    <w:rsid w:val="00CA2756"/>
    <w:rsid w:val="00CA4EF2"/>
    <w:rsid w:val="00CA659E"/>
    <w:rsid w:val="00CA65A1"/>
    <w:rsid w:val="00CA77B1"/>
    <w:rsid w:val="00CB03D6"/>
    <w:rsid w:val="00CB0813"/>
    <w:rsid w:val="00CB21E4"/>
    <w:rsid w:val="00CB29A2"/>
    <w:rsid w:val="00CB3776"/>
    <w:rsid w:val="00CB431D"/>
    <w:rsid w:val="00CB490E"/>
    <w:rsid w:val="00CB4A34"/>
    <w:rsid w:val="00CB5F49"/>
    <w:rsid w:val="00CB63EB"/>
    <w:rsid w:val="00CB715B"/>
    <w:rsid w:val="00CC04CE"/>
    <w:rsid w:val="00CC1419"/>
    <w:rsid w:val="00CC6F3E"/>
    <w:rsid w:val="00CC74BF"/>
    <w:rsid w:val="00CC75DA"/>
    <w:rsid w:val="00CC7653"/>
    <w:rsid w:val="00CC78EA"/>
    <w:rsid w:val="00CC7968"/>
    <w:rsid w:val="00CC7A8F"/>
    <w:rsid w:val="00CD0498"/>
    <w:rsid w:val="00CD0736"/>
    <w:rsid w:val="00CD23DD"/>
    <w:rsid w:val="00CD2442"/>
    <w:rsid w:val="00CD26D7"/>
    <w:rsid w:val="00CD308E"/>
    <w:rsid w:val="00CD36C8"/>
    <w:rsid w:val="00CD3C21"/>
    <w:rsid w:val="00CD3F09"/>
    <w:rsid w:val="00CD62A5"/>
    <w:rsid w:val="00CD707C"/>
    <w:rsid w:val="00CD7894"/>
    <w:rsid w:val="00CE1598"/>
    <w:rsid w:val="00CE16D7"/>
    <w:rsid w:val="00CE1741"/>
    <w:rsid w:val="00CE274A"/>
    <w:rsid w:val="00CE27CA"/>
    <w:rsid w:val="00CE3C89"/>
    <w:rsid w:val="00CE48B6"/>
    <w:rsid w:val="00CE4BBA"/>
    <w:rsid w:val="00CE4C4A"/>
    <w:rsid w:val="00CE4EC4"/>
    <w:rsid w:val="00CE573A"/>
    <w:rsid w:val="00CE70F0"/>
    <w:rsid w:val="00CE730F"/>
    <w:rsid w:val="00CE747B"/>
    <w:rsid w:val="00CE7574"/>
    <w:rsid w:val="00CE7C7E"/>
    <w:rsid w:val="00CF0BC5"/>
    <w:rsid w:val="00CF16B9"/>
    <w:rsid w:val="00CF26BA"/>
    <w:rsid w:val="00CF2963"/>
    <w:rsid w:val="00CF2E16"/>
    <w:rsid w:val="00CF2EFE"/>
    <w:rsid w:val="00CF2FBD"/>
    <w:rsid w:val="00CF520B"/>
    <w:rsid w:val="00CF5CB0"/>
    <w:rsid w:val="00CF5DC6"/>
    <w:rsid w:val="00CF6113"/>
    <w:rsid w:val="00CF6EB7"/>
    <w:rsid w:val="00CF6EF4"/>
    <w:rsid w:val="00D00E99"/>
    <w:rsid w:val="00D00F80"/>
    <w:rsid w:val="00D00F85"/>
    <w:rsid w:val="00D058BC"/>
    <w:rsid w:val="00D0597E"/>
    <w:rsid w:val="00D05D38"/>
    <w:rsid w:val="00D05D5B"/>
    <w:rsid w:val="00D064E4"/>
    <w:rsid w:val="00D10ED4"/>
    <w:rsid w:val="00D12478"/>
    <w:rsid w:val="00D13359"/>
    <w:rsid w:val="00D136A9"/>
    <w:rsid w:val="00D1482E"/>
    <w:rsid w:val="00D14B35"/>
    <w:rsid w:val="00D152BF"/>
    <w:rsid w:val="00D15A45"/>
    <w:rsid w:val="00D15AF6"/>
    <w:rsid w:val="00D164AD"/>
    <w:rsid w:val="00D21C1E"/>
    <w:rsid w:val="00D21CF3"/>
    <w:rsid w:val="00D22451"/>
    <w:rsid w:val="00D22C51"/>
    <w:rsid w:val="00D22F24"/>
    <w:rsid w:val="00D2379A"/>
    <w:rsid w:val="00D25C1B"/>
    <w:rsid w:val="00D25E35"/>
    <w:rsid w:val="00D27335"/>
    <w:rsid w:val="00D27DFB"/>
    <w:rsid w:val="00D30B0D"/>
    <w:rsid w:val="00D30B53"/>
    <w:rsid w:val="00D30BD7"/>
    <w:rsid w:val="00D30DAC"/>
    <w:rsid w:val="00D329E8"/>
    <w:rsid w:val="00D33196"/>
    <w:rsid w:val="00D3389A"/>
    <w:rsid w:val="00D342E8"/>
    <w:rsid w:val="00D34B5F"/>
    <w:rsid w:val="00D34C73"/>
    <w:rsid w:val="00D34D5F"/>
    <w:rsid w:val="00D356E0"/>
    <w:rsid w:val="00D35DC2"/>
    <w:rsid w:val="00D36829"/>
    <w:rsid w:val="00D3685E"/>
    <w:rsid w:val="00D40AF4"/>
    <w:rsid w:val="00D41098"/>
    <w:rsid w:val="00D41127"/>
    <w:rsid w:val="00D411E7"/>
    <w:rsid w:val="00D41582"/>
    <w:rsid w:val="00D41B88"/>
    <w:rsid w:val="00D41C4F"/>
    <w:rsid w:val="00D420A4"/>
    <w:rsid w:val="00D42689"/>
    <w:rsid w:val="00D42DCB"/>
    <w:rsid w:val="00D4326A"/>
    <w:rsid w:val="00D43604"/>
    <w:rsid w:val="00D43F4D"/>
    <w:rsid w:val="00D441A6"/>
    <w:rsid w:val="00D45A42"/>
    <w:rsid w:val="00D46D5D"/>
    <w:rsid w:val="00D46DA4"/>
    <w:rsid w:val="00D50710"/>
    <w:rsid w:val="00D51468"/>
    <w:rsid w:val="00D51853"/>
    <w:rsid w:val="00D52AE5"/>
    <w:rsid w:val="00D54451"/>
    <w:rsid w:val="00D547F5"/>
    <w:rsid w:val="00D548AD"/>
    <w:rsid w:val="00D550C6"/>
    <w:rsid w:val="00D559C3"/>
    <w:rsid w:val="00D5610C"/>
    <w:rsid w:val="00D572B8"/>
    <w:rsid w:val="00D6075E"/>
    <w:rsid w:val="00D60E01"/>
    <w:rsid w:val="00D60E9D"/>
    <w:rsid w:val="00D617C3"/>
    <w:rsid w:val="00D620C1"/>
    <w:rsid w:val="00D62F4C"/>
    <w:rsid w:val="00D63309"/>
    <w:rsid w:val="00D64AE7"/>
    <w:rsid w:val="00D656BF"/>
    <w:rsid w:val="00D657B0"/>
    <w:rsid w:val="00D65939"/>
    <w:rsid w:val="00D659BA"/>
    <w:rsid w:val="00D65C61"/>
    <w:rsid w:val="00D677BF"/>
    <w:rsid w:val="00D67AB8"/>
    <w:rsid w:val="00D67B12"/>
    <w:rsid w:val="00D705CB"/>
    <w:rsid w:val="00D70C02"/>
    <w:rsid w:val="00D70CF4"/>
    <w:rsid w:val="00D70ECF"/>
    <w:rsid w:val="00D71052"/>
    <w:rsid w:val="00D71B5C"/>
    <w:rsid w:val="00D72D0E"/>
    <w:rsid w:val="00D72D82"/>
    <w:rsid w:val="00D7336B"/>
    <w:rsid w:val="00D7348C"/>
    <w:rsid w:val="00D74CF9"/>
    <w:rsid w:val="00D74F9D"/>
    <w:rsid w:val="00D7561A"/>
    <w:rsid w:val="00D75F52"/>
    <w:rsid w:val="00D76000"/>
    <w:rsid w:val="00D76E26"/>
    <w:rsid w:val="00D774D6"/>
    <w:rsid w:val="00D775AD"/>
    <w:rsid w:val="00D80471"/>
    <w:rsid w:val="00D80A9B"/>
    <w:rsid w:val="00D80BD1"/>
    <w:rsid w:val="00D81EBF"/>
    <w:rsid w:val="00D82DCD"/>
    <w:rsid w:val="00D83B5B"/>
    <w:rsid w:val="00D842D7"/>
    <w:rsid w:val="00D846CF"/>
    <w:rsid w:val="00D84DB5"/>
    <w:rsid w:val="00D857FE"/>
    <w:rsid w:val="00D85A6A"/>
    <w:rsid w:val="00D85DA0"/>
    <w:rsid w:val="00D86085"/>
    <w:rsid w:val="00D872D1"/>
    <w:rsid w:val="00D874A4"/>
    <w:rsid w:val="00D902C9"/>
    <w:rsid w:val="00D91524"/>
    <w:rsid w:val="00D92464"/>
    <w:rsid w:val="00D929D8"/>
    <w:rsid w:val="00D936C5"/>
    <w:rsid w:val="00D93A4B"/>
    <w:rsid w:val="00D93AA5"/>
    <w:rsid w:val="00D948A9"/>
    <w:rsid w:val="00D968C1"/>
    <w:rsid w:val="00D96A92"/>
    <w:rsid w:val="00D96FCA"/>
    <w:rsid w:val="00D97C12"/>
    <w:rsid w:val="00D97F48"/>
    <w:rsid w:val="00DA00A8"/>
    <w:rsid w:val="00DA05BA"/>
    <w:rsid w:val="00DA0A8E"/>
    <w:rsid w:val="00DA0C0D"/>
    <w:rsid w:val="00DA1C01"/>
    <w:rsid w:val="00DA23EC"/>
    <w:rsid w:val="00DA37BC"/>
    <w:rsid w:val="00DA3C95"/>
    <w:rsid w:val="00DA439C"/>
    <w:rsid w:val="00DA5753"/>
    <w:rsid w:val="00DA65AC"/>
    <w:rsid w:val="00DA6EF4"/>
    <w:rsid w:val="00DA74EA"/>
    <w:rsid w:val="00DAF8E0"/>
    <w:rsid w:val="00DB0EF2"/>
    <w:rsid w:val="00DB1154"/>
    <w:rsid w:val="00DB1D7B"/>
    <w:rsid w:val="00DB345C"/>
    <w:rsid w:val="00DB5D82"/>
    <w:rsid w:val="00DB68E1"/>
    <w:rsid w:val="00DC0574"/>
    <w:rsid w:val="00DC0A5C"/>
    <w:rsid w:val="00DC0DDD"/>
    <w:rsid w:val="00DC0EC6"/>
    <w:rsid w:val="00DC1214"/>
    <w:rsid w:val="00DC43A9"/>
    <w:rsid w:val="00DC4412"/>
    <w:rsid w:val="00DC4F3F"/>
    <w:rsid w:val="00DC518A"/>
    <w:rsid w:val="00DC548D"/>
    <w:rsid w:val="00DC5CEB"/>
    <w:rsid w:val="00DC5D95"/>
    <w:rsid w:val="00DC61EC"/>
    <w:rsid w:val="00DC6C28"/>
    <w:rsid w:val="00DC6C87"/>
    <w:rsid w:val="00DD0006"/>
    <w:rsid w:val="00DD0436"/>
    <w:rsid w:val="00DD12E9"/>
    <w:rsid w:val="00DD259E"/>
    <w:rsid w:val="00DD49FE"/>
    <w:rsid w:val="00DD4BF0"/>
    <w:rsid w:val="00DD4DB8"/>
    <w:rsid w:val="00DD5D68"/>
    <w:rsid w:val="00DD65DC"/>
    <w:rsid w:val="00DE05E4"/>
    <w:rsid w:val="00DE1C79"/>
    <w:rsid w:val="00DE1D97"/>
    <w:rsid w:val="00DE2227"/>
    <w:rsid w:val="00DE3009"/>
    <w:rsid w:val="00DE37EB"/>
    <w:rsid w:val="00DE5AC3"/>
    <w:rsid w:val="00DE67CC"/>
    <w:rsid w:val="00DE69FC"/>
    <w:rsid w:val="00DE6CE4"/>
    <w:rsid w:val="00DE7084"/>
    <w:rsid w:val="00DE719C"/>
    <w:rsid w:val="00DE72C8"/>
    <w:rsid w:val="00DE784D"/>
    <w:rsid w:val="00DF13D6"/>
    <w:rsid w:val="00DF2367"/>
    <w:rsid w:val="00DF2C24"/>
    <w:rsid w:val="00DF3770"/>
    <w:rsid w:val="00DF5C00"/>
    <w:rsid w:val="00DF697A"/>
    <w:rsid w:val="00E005CE"/>
    <w:rsid w:val="00E0071D"/>
    <w:rsid w:val="00E00E3F"/>
    <w:rsid w:val="00E011BE"/>
    <w:rsid w:val="00E01503"/>
    <w:rsid w:val="00E017D2"/>
    <w:rsid w:val="00E01829"/>
    <w:rsid w:val="00E028DB"/>
    <w:rsid w:val="00E033D9"/>
    <w:rsid w:val="00E03424"/>
    <w:rsid w:val="00E040FE"/>
    <w:rsid w:val="00E0424D"/>
    <w:rsid w:val="00E04C89"/>
    <w:rsid w:val="00E0530D"/>
    <w:rsid w:val="00E05AF6"/>
    <w:rsid w:val="00E05C97"/>
    <w:rsid w:val="00E05CDB"/>
    <w:rsid w:val="00E0614F"/>
    <w:rsid w:val="00E07299"/>
    <w:rsid w:val="00E11E0E"/>
    <w:rsid w:val="00E12586"/>
    <w:rsid w:val="00E12E68"/>
    <w:rsid w:val="00E149FB"/>
    <w:rsid w:val="00E1507C"/>
    <w:rsid w:val="00E151B6"/>
    <w:rsid w:val="00E16774"/>
    <w:rsid w:val="00E169C8"/>
    <w:rsid w:val="00E17189"/>
    <w:rsid w:val="00E1724B"/>
    <w:rsid w:val="00E20796"/>
    <w:rsid w:val="00E212FC"/>
    <w:rsid w:val="00E222BE"/>
    <w:rsid w:val="00E22BB9"/>
    <w:rsid w:val="00E233E3"/>
    <w:rsid w:val="00E23FBA"/>
    <w:rsid w:val="00E240CC"/>
    <w:rsid w:val="00E24193"/>
    <w:rsid w:val="00E24865"/>
    <w:rsid w:val="00E24D5E"/>
    <w:rsid w:val="00E24D8C"/>
    <w:rsid w:val="00E25FDF"/>
    <w:rsid w:val="00E265F9"/>
    <w:rsid w:val="00E26B4E"/>
    <w:rsid w:val="00E27911"/>
    <w:rsid w:val="00E30B48"/>
    <w:rsid w:val="00E30D3F"/>
    <w:rsid w:val="00E30FC4"/>
    <w:rsid w:val="00E320A2"/>
    <w:rsid w:val="00E32822"/>
    <w:rsid w:val="00E33656"/>
    <w:rsid w:val="00E33681"/>
    <w:rsid w:val="00E3375C"/>
    <w:rsid w:val="00E348B0"/>
    <w:rsid w:val="00E34B1D"/>
    <w:rsid w:val="00E34E23"/>
    <w:rsid w:val="00E3572B"/>
    <w:rsid w:val="00E36F4F"/>
    <w:rsid w:val="00E375F2"/>
    <w:rsid w:val="00E37BEB"/>
    <w:rsid w:val="00E40E02"/>
    <w:rsid w:val="00E4135E"/>
    <w:rsid w:val="00E424FE"/>
    <w:rsid w:val="00E426CC"/>
    <w:rsid w:val="00E4284D"/>
    <w:rsid w:val="00E429F9"/>
    <w:rsid w:val="00E42D50"/>
    <w:rsid w:val="00E436CE"/>
    <w:rsid w:val="00E44038"/>
    <w:rsid w:val="00E443FE"/>
    <w:rsid w:val="00E45EDC"/>
    <w:rsid w:val="00E45FC9"/>
    <w:rsid w:val="00E461C2"/>
    <w:rsid w:val="00E46334"/>
    <w:rsid w:val="00E468A0"/>
    <w:rsid w:val="00E46BAB"/>
    <w:rsid w:val="00E46DAE"/>
    <w:rsid w:val="00E475DF"/>
    <w:rsid w:val="00E507A8"/>
    <w:rsid w:val="00E508B0"/>
    <w:rsid w:val="00E5091E"/>
    <w:rsid w:val="00E51881"/>
    <w:rsid w:val="00E51C7B"/>
    <w:rsid w:val="00E51FDC"/>
    <w:rsid w:val="00E52AF2"/>
    <w:rsid w:val="00E52F7F"/>
    <w:rsid w:val="00E53758"/>
    <w:rsid w:val="00E56A80"/>
    <w:rsid w:val="00E638BA"/>
    <w:rsid w:val="00E6419F"/>
    <w:rsid w:val="00E6471D"/>
    <w:rsid w:val="00E6525E"/>
    <w:rsid w:val="00E6546E"/>
    <w:rsid w:val="00E6607F"/>
    <w:rsid w:val="00E67055"/>
    <w:rsid w:val="00E702A3"/>
    <w:rsid w:val="00E703D1"/>
    <w:rsid w:val="00E70A87"/>
    <w:rsid w:val="00E71A77"/>
    <w:rsid w:val="00E72416"/>
    <w:rsid w:val="00E73783"/>
    <w:rsid w:val="00E74C3F"/>
    <w:rsid w:val="00E74EB1"/>
    <w:rsid w:val="00E750B1"/>
    <w:rsid w:val="00E75F26"/>
    <w:rsid w:val="00E7612A"/>
    <w:rsid w:val="00E76753"/>
    <w:rsid w:val="00E773AA"/>
    <w:rsid w:val="00E777EA"/>
    <w:rsid w:val="00E80138"/>
    <w:rsid w:val="00E808AB"/>
    <w:rsid w:val="00E80D9B"/>
    <w:rsid w:val="00E818B2"/>
    <w:rsid w:val="00E83913"/>
    <w:rsid w:val="00E83BC5"/>
    <w:rsid w:val="00E83D31"/>
    <w:rsid w:val="00E83E18"/>
    <w:rsid w:val="00E83ED0"/>
    <w:rsid w:val="00E841E2"/>
    <w:rsid w:val="00E84948"/>
    <w:rsid w:val="00E85FE4"/>
    <w:rsid w:val="00E870E3"/>
    <w:rsid w:val="00E905E4"/>
    <w:rsid w:val="00E911A6"/>
    <w:rsid w:val="00E91CFA"/>
    <w:rsid w:val="00E9238D"/>
    <w:rsid w:val="00E9299A"/>
    <w:rsid w:val="00E92D6E"/>
    <w:rsid w:val="00E93882"/>
    <w:rsid w:val="00E938C7"/>
    <w:rsid w:val="00E94A5D"/>
    <w:rsid w:val="00E95875"/>
    <w:rsid w:val="00E95B43"/>
    <w:rsid w:val="00E95B52"/>
    <w:rsid w:val="00E96BF7"/>
    <w:rsid w:val="00E970DC"/>
    <w:rsid w:val="00EA0184"/>
    <w:rsid w:val="00EA1765"/>
    <w:rsid w:val="00EA21A6"/>
    <w:rsid w:val="00EA2332"/>
    <w:rsid w:val="00EA37C1"/>
    <w:rsid w:val="00EA3CD8"/>
    <w:rsid w:val="00EA4B9E"/>
    <w:rsid w:val="00EA54EF"/>
    <w:rsid w:val="00EA561A"/>
    <w:rsid w:val="00EA5A5E"/>
    <w:rsid w:val="00EA5CA5"/>
    <w:rsid w:val="00EB040A"/>
    <w:rsid w:val="00EB0DAE"/>
    <w:rsid w:val="00EB1DB6"/>
    <w:rsid w:val="00EB393D"/>
    <w:rsid w:val="00EB3BDB"/>
    <w:rsid w:val="00EB3C9B"/>
    <w:rsid w:val="00EB40E6"/>
    <w:rsid w:val="00EB4E87"/>
    <w:rsid w:val="00EC00ED"/>
    <w:rsid w:val="00EC04EC"/>
    <w:rsid w:val="00EC0792"/>
    <w:rsid w:val="00EC17B6"/>
    <w:rsid w:val="00EC19C5"/>
    <w:rsid w:val="00EC464E"/>
    <w:rsid w:val="00EC4C78"/>
    <w:rsid w:val="00EC4DA9"/>
    <w:rsid w:val="00EC4DDB"/>
    <w:rsid w:val="00EC6030"/>
    <w:rsid w:val="00EC6FA5"/>
    <w:rsid w:val="00EC72F6"/>
    <w:rsid w:val="00EC7465"/>
    <w:rsid w:val="00EC7AA6"/>
    <w:rsid w:val="00ED0111"/>
    <w:rsid w:val="00ED3918"/>
    <w:rsid w:val="00ED3B9D"/>
    <w:rsid w:val="00ED3D2D"/>
    <w:rsid w:val="00ED3D3A"/>
    <w:rsid w:val="00ED4CDA"/>
    <w:rsid w:val="00ED5A45"/>
    <w:rsid w:val="00ED5DF6"/>
    <w:rsid w:val="00ED7056"/>
    <w:rsid w:val="00ED72FC"/>
    <w:rsid w:val="00ED7C17"/>
    <w:rsid w:val="00EE0369"/>
    <w:rsid w:val="00EE10BC"/>
    <w:rsid w:val="00EE111E"/>
    <w:rsid w:val="00EE1BEF"/>
    <w:rsid w:val="00EE25C0"/>
    <w:rsid w:val="00EE2ACC"/>
    <w:rsid w:val="00EE2AD4"/>
    <w:rsid w:val="00EE2AFF"/>
    <w:rsid w:val="00EE3E3F"/>
    <w:rsid w:val="00EE525F"/>
    <w:rsid w:val="00EE55E0"/>
    <w:rsid w:val="00EE5E56"/>
    <w:rsid w:val="00EE5FD0"/>
    <w:rsid w:val="00EE65A2"/>
    <w:rsid w:val="00EE6E08"/>
    <w:rsid w:val="00EE705A"/>
    <w:rsid w:val="00EE7220"/>
    <w:rsid w:val="00EE7DCC"/>
    <w:rsid w:val="00EF0C98"/>
    <w:rsid w:val="00EF1C22"/>
    <w:rsid w:val="00EF1D87"/>
    <w:rsid w:val="00EF27FE"/>
    <w:rsid w:val="00EF339B"/>
    <w:rsid w:val="00EF4081"/>
    <w:rsid w:val="00EF58B8"/>
    <w:rsid w:val="00EF5A08"/>
    <w:rsid w:val="00EF5BB4"/>
    <w:rsid w:val="00EF7FE8"/>
    <w:rsid w:val="00F000F0"/>
    <w:rsid w:val="00F00286"/>
    <w:rsid w:val="00F004B8"/>
    <w:rsid w:val="00F00A46"/>
    <w:rsid w:val="00F01610"/>
    <w:rsid w:val="00F01D33"/>
    <w:rsid w:val="00F04874"/>
    <w:rsid w:val="00F04917"/>
    <w:rsid w:val="00F061B0"/>
    <w:rsid w:val="00F068FB"/>
    <w:rsid w:val="00F06C1B"/>
    <w:rsid w:val="00F070C6"/>
    <w:rsid w:val="00F072C0"/>
    <w:rsid w:val="00F10477"/>
    <w:rsid w:val="00F11A12"/>
    <w:rsid w:val="00F11A6F"/>
    <w:rsid w:val="00F12478"/>
    <w:rsid w:val="00F1374B"/>
    <w:rsid w:val="00F15451"/>
    <w:rsid w:val="00F15B67"/>
    <w:rsid w:val="00F15C14"/>
    <w:rsid w:val="00F15DD6"/>
    <w:rsid w:val="00F16A57"/>
    <w:rsid w:val="00F17760"/>
    <w:rsid w:val="00F211CD"/>
    <w:rsid w:val="00F227E3"/>
    <w:rsid w:val="00F229B1"/>
    <w:rsid w:val="00F23687"/>
    <w:rsid w:val="00F24121"/>
    <w:rsid w:val="00F255A9"/>
    <w:rsid w:val="00F258A2"/>
    <w:rsid w:val="00F2634D"/>
    <w:rsid w:val="00F26631"/>
    <w:rsid w:val="00F26AB4"/>
    <w:rsid w:val="00F27C85"/>
    <w:rsid w:val="00F27DD5"/>
    <w:rsid w:val="00F3042E"/>
    <w:rsid w:val="00F30797"/>
    <w:rsid w:val="00F30FA0"/>
    <w:rsid w:val="00F31BD7"/>
    <w:rsid w:val="00F31E77"/>
    <w:rsid w:val="00F328C4"/>
    <w:rsid w:val="00F33A38"/>
    <w:rsid w:val="00F344E1"/>
    <w:rsid w:val="00F3462E"/>
    <w:rsid w:val="00F363EA"/>
    <w:rsid w:val="00F366F0"/>
    <w:rsid w:val="00F36784"/>
    <w:rsid w:val="00F368ED"/>
    <w:rsid w:val="00F37149"/>
    <w:rsid w:val="00F37218"/>
    <w:rsid w:val="00F378EB"/>
    <w:rsid w:val="00F4093B"/>
    <w:rsid w:val="00F40C20"/>
    <w:rsid w:val="00F411D3"/>
    <w:rsid w:val="00F4157E"/>
    <w:rsid w:val="00F416FB"/>
    <w:rsid w:val="00F4182F"/>
    <w:rsid w:val="00F42225"/>
    <w:rsid w:val="00F431C9"/>
    <w:rsid w:val="00F439A3"/>
    <w:rsid w:val="00F45060"/>
    <w:rsid w:val="00F454F0"/>
    <w:rsid w:val="00F46F29"/>
    <w:rsid w:val="00F47F62"/>
    <w:rsid w:val="00F50CA2"/>
    <w:rsid w:val="00F5159A"/>
    <w:rsid w:val="00F52B3E"/>
    <w:rsid w:val="00F531EA"/>
    <w:rsid w:val="00F54122"/>
    <w:rsid w:val="00F54774"/>
    <w:rsid w:val="00F54BDF"/>
    <w:rsid w:val="00F54D68"/>
    <w:rsid w:val="00F57DA8"/>
    <w:rsid w:val="00F57DC3"/>
    <w:rsid w:val="00F6292B"/>
    <w:rsid w:val="00F62EC2"/>
    <w:rsid w:val="00F6457A"/>
    <w:rsid w:val="00F648BD"/>
    <w:rsid w:val="00F64D23"/>
    <w:rsid w:val="00F64F1B"/>
    <w:rsid w:val="00F650BB"/>
    <w:rsid w:val="00F653D1"/>
    <w:rsid w:val="00F65AAA"/>
    <w:rsid w:val="00F65C08"/>
    <w:rsid w:val="00F66054"/>
    <w:rsid w:val="00F661C7"/>
    <w:rsid w:val="00F66DD2"/>
    <w:rsid w:val="00F7002E"/>
    <w:rsid w:val="00F707B0"/>
    <w:rsid w:val="00F70B04"/>
    <w:rsid w:val="00F71181"/>
    <w:rsid w:val="00F71289"/>
    <w:rsid w:val="00F72C41"/>
    <w:rsid w:val="00F74366"/>
    <w:rsid w:val="00F74E7C"/>
    <w:rsid w:val="00F757AD"/>
    <w:rsid w:val="00F75D82"/>
    <w:rsid w:val="00F76AF0"/>
    <w:rsid w:val="00F76E03"/>
    <w:rsid w:val="00F76F7F"/>
    <w:rsid w:val="00F77241"/>
    <w:rsid w:val="00F7732F"/>
    <w:rsid w:val="00F77ECB"/>
    <w:rsid w:val="00F80950"/>
    <w:rsid w:val="00F8108A"/>
    <w:rsid w:val="00F8116A"/>
    <w:rsid w:val="00F822AD"/>
    <w:rsid w:val="00F82437"/>
    <w:rsid w:val="00F827E1"/>
    <w:rsid w:val="00F82D73"/>
    <w:rsid w:val="00F842A9"/>
    <w:rsid w:val="00F84BE4"/>
    <w:rsid w:val="00F84D8D"/>
    <w:rsid w:val="00F85BFC"/>
    <w:rsid w:val="00F87B80"/>
    <w:rsid w:val="00F87DC0"/>
    <w:rsid w:val="00F90126"/>
    <w:rsid w:val="00F90A4E"/>
    <w:rsid w:val="00F9106E"/>
    <w:rsid w:val="00F92029"/>
    <w:rsid w:val="00F92346"/>
    <w:rsid w:val="00F92AC7"/>
    <w:rsid w:val="00F92FDE"/>
    <w:rsid w:val="00F93E48"/>
    <w:rsid w:val="00F94D69"/>
    <w:rsid w:val="00F955D3"/>
    <w:rsid w:val="00F9565F"/>
    <w:rsid w:val="00F968BC"/>
    <w:rsid w:val="00F9772F"/>
    <w:rsid w:val="00F97BAB"/>
    <w:rsid w:val="00FA0C26"/>
    <w:rsid w:val="00FA0D82"/>
    <w:rsid w:val="00FA0DF3"/>
    <w:rsid w:val="00FA10A4"/>
    <w:rsid w:val="00FA1401"/>
    <w:rsid w:val="00FA1B3C"/>
    <w:rsid w:val="00FA1D75"/>
    <w:rsid w:val="00FA3392"/>
    <w:rsid w:val="00FA34E2"/>
    <w:rsid w:val="00FA3F8E"/>
    <w:rsid w:val="00FA42AD"/>
    <w:rsid w:val="00FA5CA4"/>
    <w:rsid w:val="00FA672D"/>
    <w:rsid w:val="00FA78A5"/>
    <w:rsid w:val="00FB0462"/>
    <w:rsid w:val="00FB21ED"/>
    <w:rsid w:val="00FB21FC"/>
    <w:rsid w:val="00FB26A8"/>
    <w:rsid w:val="00FB34D1"/>
    <w:rsid w:val="00FB4850"/>
    <w:rsid w:val="00FB5898"/>
    <w:rsid w:val="00FB5F3F"/>
    <w:rsid w:val="00FB6A38"/>
    <w:rsid w:val="00FB6D56"/>
    <w:rsid w:val="00FB6F63"/>
    <w:rsid w:val="00FC0990"/>
    <w:rsid w:val="00FC0DF8"/>
    <w:rsid w:val="00FC0FCD"/>
    <w:rsid w:val="00FC2B5D"/>
    <w:rsid w:val="00FC2D1F"/>
    <w:rsid w:val="00FC3670"/>
    <w:rsid w:val="00FC5189"/>
    <w:rsid w:val="00FC6CC5"/>
    <w:rsid w:val="00FC7161"/>
    <w:rsid w:val="00FC74EA"/>
    <w:rsid w:val="00FC78A1"/>
    <w:rsid w:val="00FC7B78"/>
    <w:rsid w:val="00FD01B7"/>
    <w:rsid w:val="00FD02B0"/>
    <w:rsid w:val="00FD0865"/>
    <w:rsid w:val="00FD15EB"/>
    <w:rsid w:val="00FD30F3"/>
    <w:rsid w:val="00FD369C"/>
    <w:rsid w:val="00FD38D3"/>
    <w:rsid w:val="00FD3FB0"/>
    <w:rsid w:val="00FD4574"/>
    <w:rsid w:val="00FD4DD3"/>
    <w:rsid w:val="00FD5042"/>
    <w:rsid w:val="00FD53FF"/>
    <w:rsid w:val="00FD5CE1"/>
    <w:rsid w:val="00FD659A"/>
    <w:rsid w:val="00FD6F53"/>
    <w:rsid w:val="00FD7A49"/>
    <w:rsid w:val="00FD7FED"/>
    <w:rsid w:val="00FE02C5"/>
    <w:rsid w:val="00FE15D8"/>
    <w:rsid w:val="00FE1803"/>
    <w:rsid w:val="00FE1B56"/>
    <w:rsid w:val="00FE26CF"/>
    <w:rsid w:val="00FE36C0"/>
    <w:rsid w:val="00FE3B86"/>
    <w:rsid w:val="00FE48BF"/>
    <w:rsid w:val="00FE48C0"/>
    <w:rsid w:val="00FE4F77"/>
    <w:rsid w:val="00FE5921"/>
    <w:rsid w:val="00FE5A50"/>
    <w:rsid w:val="00FE67F4"/>
    <w:rsid w:val="00FF04B5"/>
    <w:rsid w:val="00FF06F4"/>
    <w:rsid w:val="00FF108C"/>
    <w:rsid w:val="00FF38C1"/>
    <w:rsid w:val="00FF58A7"/>
    <w:rsid w:val="00FF5A01"/>
    <w:rsid w:val="00FF5D1C"/>
    <w:rsid w:val="00FF628C"/>
    <w:rsid w:val="00FF63E6"/>
    <w:rsid w:val="00FF6EF3"/>
    <w:rsid w:val="00FF75D2"/>
    <w:rsid w:val="00FF7C4D"/>
    <w:rsid w:val="010844E3"/>
    <w:rsid w:val="0193E4B5"/>
    <w:rsid w:val="027F12FB"/>
    <w:rsid w:val="040828E9"/>
    <w:rsid w:val="042C5064"/>
    <w:rsid w:val="04AC8B84"/>
    <w:rsid w:val="05CB7FD8"/>
    <w:rsid w:val="06AC834E"/>
    <w:rsid w:val="076B2913"/>
    <w:rsid w:val="07800BDF"/>
    <w:rsid w:val="0899DEC9"/>
    <w:rsid w:val="09F89EBC"/>
    <w:rsid w:val="0A913788"/>
    <w:rsid w:val="0D58269A"/>
    <w:rsid w:val="0FD71C25"/>
    <w:rsid w:val="10AC8018"/>
    <w:rsid w:val="12CE49CC"/>
    <w:rsid w:val="13B081DF"/>
    <w:rsid w:val="13C35C07"/>
    <w:rsid w:val="14CDCE0A"/>
    <w:rsid w:val="1508F8F4"/>
    <w:rsid w:val="1823A1AD"/>
    <w:rsid w:val="184010D1"/>
    <w:rsid w:val="18743E1E"/>
    <w:rsid w:val="1951B929"/>
    <w:rsid w:val="19550CEA"/>
    <w:rsid w:val="19A3A32B"/>
    <w:rsid w:val="1AC2DA98"/>
    <w:rsid w:val="1D62D0BA"/>
    <w:rsid w:val="1E25A1C7"/>
    <w:rsid w:val="1F2A10AC"/>
    <w:rsid w:val="215DA730"/>
    <w:rsid w:val="227584DC"/>
    <w:rsid w:val="22F54D2A"/>
    <w:rsid w:val="23AB897F"/>
    <w:rsid w:val="23E69E78"/>
    <w:rsid w:val="24E75293"/>
    <w:rsid w:val="258A6BAB"/>
    <w:rsid w:val="26A082B0"/>
    <w:rsid w:val="26A2FB73"/>
    <w:rsid w:val="28321B5B"/>
    <w:rsid w:val="28BB8B40"/>
    <w:rsid w:val="2A8ED7CF"/>
    <w:rsid w:val="2BCFE173"/>
    <w:rsid w:val="2D8B3BB8"/>
    <w:rsid w:val="2DFFAFE0"/>
    <w:rsid w:val="2EC5E388"/>
    <w:rsid w:val="2F9C9913"/>
    <w:rsid w:val="2FBAC7C6"/>
    <w:rsid w:val="304D849A"/>
    <w:rsid w:val="31080382"/>
    <w:rsid w:val="31E42001"/>
    <w:rsid w:val="325ACED3"/>
    <w:rsid w:val="336B767D"/>
    <w:rsid w:val="3381C6F2"/>
    <w:rsid w:val="33ECAD90"/>
    <w:rsid w:val="341ACB92"/>
    <w:rsid w:val="34D34FC0"/>
    <w:rsid w:val="3543579B"/>
    <w:rsid w:val="35A2AB98"/>
    <w:rsid w:val="35BC7F12"/>
    <w:rsid w:val="38EEEA89"/>
    <w:rsid w:val="3AA771C8"/>
    <w:rsid w:val="3B0BDE11"/>
    <w:rsid w:val="3B3DBB71"/>
    <w:rsid w:val="3B527503"/>
    <w:rsid w:val="3C36B7C4"/>
    <w:rsid w:val="3C4E8730"/>
    <w:rsid w:val="3D4BB3D2"/>
    <w:rsid w:val="3D89C324"/>
    <w:rsid w:val="3DFE0749"/>
    <w:rsid w:val="3EFE6B47"/>
    <w:rsid w:val="3F259385"/>
    <w:rsid w:val="413B49D0"/>
    <w:rsid w:val="415BE1C9"/>
    <w:rsid w:val="422D7BE1"/>
    <w:rsid w:val="423FB113"/>
    <w:rsid w:val="436A8BD6"/>
    <w:rsid w:val="441616D2"/>
    <w:rsid w:val="44963033"/>
    <w:rsid w:val="44E664DE"/>
    <w:rsid w:val="466743E4"/>
    <w:rsid w:val="47AF17E8"/>
    <w:rsid w:val="4B9E47FB"/>
    <w:rsid w:val="4C926521"/>
    <w:rsid w:val="4D3CD2AE"/>
    <w:rsid w:val="4D95F54E"/>
    <w:rsid w:val="4E776060"/>
    <w:rsid w:val="4EEDA772"/>
    <w:rsid w:val="4F143433"/>
    <w:rsid w:val="4FEA2CC2"/>
    <w:rsid w:val="51D14037"/>
    <w:rsid w:val="527C4B78"/>
    <w:rsid w:val="52EC87BA"/>
    <w:rsid w:val="533FBE7B"/>
    <w:rsid w:val="5385329C"/>
    <w:rsid w:val="556FAFAE"/>
    <w:rsid w:val="55E4791D"/>
    <w:rsid w:val="56E0C201"/>
    <w:rsid w:val="5742D44E"/>
    <w:rsid w:val="582C03CE"/>
    <w:rsid w:val="59016C7E"/>
    <w:rsid w:val="5A611581"/>
    <w:rsid w:val="5B1C65A0"/>
    <w:rsid w:val="5B459620"/>
    <w:rsid w:val="5B674B06"/>
    <w:rsid w:val="5BF9A3D5"/>
    <w:rsid w:val="5DFAA6BD"/>
    <w:rsid w:val="5E100719"/>
    <w:rsid w:val="5EE26F14"/>
    <w:rsid w:val="5F436162"/>
    <w:rsid w:val="5F5CCE09"/>
    <w:rsid w:val="5FBDDF20"/>
    <w:rsid w:val="611952DC"/>
    <w:rsid w:val="61B2485F"/>
    <w:rsid w:val="62C7C0E2"/>
    <w:rsid w:val="6336D947"/>
    <w:rsid w:val="6536A971"/>
    <w:rsid w:val="65A5700F"/>
    <w:rsid w:val="67B6F185"/>
    <w:rsid w:val="69BE6A9D"/>
    <w:rsid w:val="6AA84E39"/>
    <w:rsid w:val="6B35B55A"/>
    <w:rsid w:val="6B6C5071"/>
    <w:rsid w:val="6BDAC3D3"/>
    <w:rsid w:val="6C70D7F5"/>
    <w:rsid w:val="6CFB83E4"/>
    <w:rsid w:val="6E9C7EAD"/>
    <w:rsid w:val="6F643F72"/>
    <w:rsid w:val="6FA01521"/>
    <w:rsid w:val="7136A056"/>
    <w:rsid w:val="714BE045"/>
    <w:rsid w:val="7281F445"/>
    <w:rsid w:val="72D03A44"/>
    <w:rsid w:val="72D88E54"/>
    <w:rsid w:val="736B5A20"/>
    <w:rsid w:val="737A9B16"/>
    <w:rsid w:val="740EFCD6"/>
    <w:rsid w:val="7419CA12"/>
    <w:rsid w:val="747C5A91"/>
    <w:rsid w:val="75FEEBAC"/>
    <w:rsid w:val="76994DC7"/>
    <w:rsid w:val="76EEAE34"/>
    <w:rsid w:val="77822003"/>
    <w:rsid w:val="77CA73FE"/>
    <w:rsid w:val="7812261A"/>
    <w:rsid w:val="78364BAE"/>
    <w:rsid w:val="79C8E53D"/>
    <w:rsid w:val="79E68762"/>
    <w:rsid w:val="7A4A8839"/>
    <w:rsid w:val="7A85DDEA"/>
    <w:rsid w:val="7AAD52A0"/>
    <w:rsid w:val="7B736A24"/>
    <w:rsid w:val="7C7904B4"/>
    <w:rsid w:val="7CA2C1DB"/>
    <w:rsid w:val="7F6CD5C3"/>
    <w:rsid w:val="7FE19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B2FB6F"/>
  <w15:docId w15:val="{C5F581F9-F78C-46F7-BF88-2286D8B8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76C04"/>
    <w:rPr>
      <w:rFonts w:ascii="Times New Roman" w:eastAsia="Times New Roman" w:hAnsi="Times New Roman"/>
      <w:sz w:val="24"/>
      <w:szCs w:val="24"/>
      <w:lang w:val="es-419"/>
    </w:rPr>
  </w:style>
  <w:style w:type="paragraph" w:styleId="Heading1">
    <w:name w:val="heading 1"/>
    <w:aliases w:val="Heading 1.I"/>
    <w:basedOn w:val="Normal"/>
    <w:next w:val="Normal"/>
    <w:link w:val="Heading1Char"/>
    <w:autoRedefine/>
    <w:uiPriority w:val="9"/>
    <w:qFormat/>
    <w:rsid w:val="00216A0C"/>
    <w:pPr>
      <w:keepNext/>
      <w:keepLines/>
      <w:tabs>
        <w:tab w:val="left" w:pos="450"/>
      </w:tabs>
      <w:spacing w:after="100" w:afterAutospacing="1"/>
      <w:outlineLvl w:val="0"/>
    </w:pPr>
    <w:rPr>
      <w:rFonts w:ascii="Arial" w:hAnsi="Arial" w:cs="Arial"/>
      <w:b/>
      <w:bCs/>
      <w:sz w:val="22"/>
      <w:szCs w:val="28"/>
      <w:lang w:val="es-ES_tradnl"/>
    </w:rPr>
  </w:style>
  <w:style w:type="paragraph" w:styleId="Heading2">
    <w:name w:val="heading 2"/>
    <w:basedOn w:val="Normal"/>
    <w:next w:val="Normal"/>
    <w:link w:val="Heading2Char"/>
    <w:autoRedefine/>
    <w:uiPriority w:val="9"/>
    <w:qFormat/>
    <w:rsid w:val="00993C0D"/>
    <w:pPr>
      <w:keepNext/>
      <w:keepLines/>
      <w:spacing w:before="240" w:after="100" w:afterAutospacing="1"/>
      <w:jc w:val="both"/>
      <w:outlineLvl w:val="1"/>
    </w:pPr>
    <w:rPr>
      <w:rFonts w:ascii="Arial" w:hAnsi="Arial"/>
      <w:b/>
      <w:bCs/>
      <w:sz w:val="22"/>
      <w:szCs w:val="22"/>
      <w:lang w:val="es-ES" w:eastAsia="ko-KR"/>
    </w:rPr>
  </w:style>
  <w:style w:type="paragraph" w:styleId="Heading3">
    <w:name w:val="heading 3"/>
    <w:basedOn w:val="Normal"/>
    <w:next w:val="Normal"/>
    <w:link w:val="Heading3Char"/>
    <w:uiPriority w:val="9"/>
    <w:qFormat/>
    <w:rsid w:val="00AA7F2E"/>
    <w:pPr>
      <w:keepNext/>
      <w:keepLines/>
      <w:numPr>
        <w:ilvl w:val="2"/>
        <w:numId w:val="3"/>
      </w:numPr>
      <w:spacing w:before="200" w:line="259" w:lineRule="auto"/>
      <w:outlineLvl w:val="2"/>
    </w:pPr>
    <w:rPr>
      <w:rFonts w:ascii="Calibri Light" w:hAnsi="Calibri Light"/>
      <w:b/>
      <w:bCs/>
      <w:color w:val="5B9BD5"/>
      <w:sz w:val="22"/>
      <w:szCs w:val="22"/>
    </w:rPr>
  </w:style>
  <w:style w:type="paragraph" w:styleId="Heading4">
    <w:name w:val="heading 4"/>
    <w:aliases w:val="Heading 4.a"/>
    <w:basedOn w:val="Normal"/>
    <w:next w:val="Normal"/>
    <w:link w:val="Heading4Char"/>
    <w:uiPriority w:val="9"/>
    <w:qFormat/>
    <w:rsid w:val="00AA7F2E"/>
    <w:pPr>
      <w:keepNext/>
      <w:keepLines/>
      <w:numPr>
        <w:ilvl w:val="3"/>
        <w:numId w:val="3"/>
      </w:numPr>
      <w:spacing w:before="200" w:line="259" w:lineRule="auto"/>
      <w:outlineLvl w:val="3"/>
    </w:pPr>
    <w:rPr>
      <w:rFonts w:ascii="Calibri Light" w:hAnsi="Calibri Light"/>
      <w:b/>
      <w:bCs/>
      <w:i/>
      <w:iCs/>
      <w:color w:val="5B9BD5"/>
      <w:sz w:val="22"/>
      <w:szCs w:val="22"/>
    </w:rPr>
  </w:style>
  <w:style w:type="paragraph" w:styleId="Heading5">
    <w:name w:val="heading 5"/>
    <w:aliases w:val="Heading 5.(i)"/>
    <w:basedOn w:val="Normal"/>
    <w:link w:val="Heading5Char"/>
    <w:qFormat/>
    <w:rsid w:val="00AA7F2E"/>
    <w:pPr>
      <w:numPr>
        <w:ilvl w:val="4"/>
        <w:numId w:val="3"/>
      </w:num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AA7F2E"/>
    <w:pPr>
      <w:keepNext/>
      <w:keepLines/>
      <w:numPr>
        <w:ilvl w:val="5"/>
        <w:numId w:val="3"/>
      </w:numPr>
      <w:spacing w:before="200" w:line="259" w:lineRule="auto"/>
      <w:outlineLvl w:val="5"/>
    </w:pPr>
    <w:rPr>
      <w:rFonts w:ascii="Calibri Light" w:hAnsi="Calibri Light"/>
      <w:i/>
      <w:iCs/>
      <w:color w:val="1F4D78"/>
      <w:sz w:val="22"/>
      <w:szCs w:val="22"/>
    </w:rPr>
  </w:style>
  <w:style w:type="paragraph" w:styleId="Heading7">
    <w:name w:val="heading 7"/>
    <w:basedOn w:val="Normal"/>
    <w:next w:val="Normal"/>
    <w:link w:val="Heading7Char"/>
    <w:qFormat/>
    <w:rsid w:val="00AA7F2E"/>
    <w:pPr>
      <w:keepNext/>
      <w:keepLines/>
      <w:numPr>
        <w:ilvl w:val="6"/>
        <w:numId w:val="3"/>
      </w:numPr>
      <w:spacing w:before="200" w:line="259" w:lineRule="auto"/>
      <w:outlineLvl w:val="6"/>
    </w:pPr>
    <w:rPr>
      <w:rFonts w:ascii="Calibri Light" w:hAnsi="Calibri Light"/>
      <w:i/>
      <w:iCs/>
      <w:color w:val="404040"/>
      <w:sz w:val="22"/>
      <w:szCs w:val="22"/>
    </w:rPr>
  </w:style>
  <w:style w:type="paragraph" w:styleId="Heading8">
    <w:name w:val="heading 8"/>
    <w:basedOn w:val="Normal"/>
    <w:next w:val="Normal"/>
    <w:link w:val="Heading8Char"/>
    <w:qFormat/>
    <w:rsid w:val="00AA7F2E"/>
    <w:pPr>
      <w:keepNext/>
      <w:keepLines/>
      <w:numPr>
        <w:ilvl w:val="7"/>
        <w:numId w:val="3"/>
      </w:numPr>
      <w:spacing w:before="200" w:line="259" w:lineRule="auto"/>
      <w:outlineLvl w:val="7"/>
    </w:pPr>
    <w:rPr>
      <w:rFonts w:ascii="Calibri Light" w:hAnsi="Calibri Light"/>
      <w:color w:val="404040"/>
      <w:sz w:val="20"/>
      <w:szCs w:val="20"/>
    </w:rPr>
  </w:style>
  <w:style w:type="paragraph" w:styleId="Heading9">
    <w:name w:val="heading 9"/>
    <w:basedOn w:val="Normal"/>
    <w:next w:val="Normal"/>
    <w:link w:val="Heading9Char"/>
    <w:qFormat/>
    <w:rsid w:val="00AA7F2E"/>
    <w:pPr>
      <w:keepNext/>
      <w:keepLines/>
      <w:numPr>
        <w:ilvl w:val="8"/>
        <w:numId w:val="3"/>
      </w:numPr>
      <w:spacing w:before="200" w:line="259" w:lineRule="auto"/>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5.(i) Char"/>
    <w:link w:val="Heading5"/>
    <w:rsid w:val="00AA7F2E"/>
    <w:rPr>
      <w:rFonts w:ascii="Times New Roman" w:eastAsia="Times New Roman" w:hAnsi="Times New Roman"/>
      <w:b/>
      <w:bCs/>
    </w:rPr>
  </w:style>
  <w:style w:type="paragraph" w:styleId="NormalWeb">
    <w:name w:val="Normal (Web)"/>
    <w:basedOn w:val="Normal"/>
    <w:uiPriority w:val="99"/>
    <w:unhideWhenUsed/>
    <w:rsid w:val="00CE573A"/>
    <w:pPr>
      <w:spacing w:before="100" w:beforeAutospacing="1" w:after="100" w:afterAutospacing="1"/>
    </w:pPr>
    <w:rPr>
      <w:sz w:val="22"/>
    </w:rPr>
  </w:style>
  <w:style w:type="table" w:styleId="TableGrid">
    <w:name w:val="Table Grid"/>
    <w:basedOn w:val="TableNormal"/>
    <w:uiPriority w:val="39"/>
    <w:rsid w:val="00E80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D3F09"/>
    <w:rPr>
      <w:i/>
      <w:iCs/>
    </w:rPr>
  </w:style>
  <w:style w:type="character" w:customStyle="1" w:styleId="apple-converted-space">
    <w:name w:val="apple-converted-space"/>
    <w:basedOn w:val="DefaultParagraphFont"/>
    <w:rsid w:val="00CD3F09"/>
  </w:style>
  <w:style w:type="paragraph" w:styleId="FootnoteText">
    <w:name w:val="footnote text"/>
    <w:aliases w:val="fn,Texto nota pie IIRSA,footnote,foottextfra,F,Texto nota pie Car Car,Car,Car3 Car Car,Car3 Car,Car3 Car Car Car Car Car Car Car Car Car Car,Car3 Car Car Car Car Car Car Car Car Car Car Car Car Car,ft,Style 25,Texto de rodapé,nota_rodapé,f"/>
    <w:basedOn w:val="Normal"/>
    <w:link w:val="FootnoteTextChar"/>
    <w:unhideWhenUsed/>
    <w:qFormat/>
    <w:rsid w:val="008C5F59"/>
    <w:pPr>
      <w:keepNext/>
      <w:keepLines/>
      <w:spacing w:after="120"/>
      <w:ind w:left="288" w:hanging="288"/>
      <w:jc w:val="both"/>
    </w:pPr>
    <w:rPr>
      <w:spacing w:val="-3"/>
      <w:sz w:val="20"/>
      <w:szCs w:val="20"/>
    </w:rPr>
  </w:style>
  <w:style w:type="character" w:customStyle="1" w:styleId="FootnoteTextChar">
    <w:name w:val="Footnote Text Char"/>
    <w:aliases w:val="fn Char,Texto nota pie IIRSA Char,footnote Char,foottextfra Char,F Char,Texto nota pie Car Car Char,Car Char,Car3 Car Car Char,Car3 Car Char,Car3 Car Car Car Car Car Car Car Car Car Car Char,ft Char,Style 25 Char,Texto de rodapé Char"/>
    <w:link w:val="FootnoteText"/>
    <w:rsid w:val="008C5F59"/>
    <w:rPr>
      <w:rFonts w:ascii="Times New Roman" w:hAnsi="Times New Roman" w:cs="Times New Roman"/>
      <w:spacing w:val="-3"/>
      <w:sz w:val="20"/>
      <w:szCs w:val="20"/>
    </w:rPr>
  </w:style>
  <w:style w:type="character" w:styleId="FootnoteReference">
    <w:name w:val="footnote reference"/>
    <w:aliases w:val="referencia nota al pie,titulo 2,Fußnotenzeichen DISS,16 Point,Superscript 6 Point,ftref,BVI fnr,Знак сноски 1,Footnote Referencefra,FC,Style 24,pie pddes,Ref,de nota al pie,Ref. de nota al pie.,Footnote Reference.SES, BVI fnr,fr,F1"/>
    <w:uiPriority w:val="99"/>
    <w:unhideWhenUsed/>
    <w:qFormat/>
    <w:rsid w:val="008C5F59"/>
    <w:rPr>
      <w:vertAlign w:val="superscript"/>
    </w:rPr>
  </w:style>
  <w:style w:type="character" w:styleId="Hyperlink">
    <w:name w:val="Hyperlink"/>
    <w:unhideWhenUsed/>
    <w:rsid w:val="002B1B9F"/>
    <w:rPr>
      <w:color w:val="0000FF"/>
      <w:u w:val="single"/>
    </w:rPr>
  </w:style>
  <w:style w:type="paragraph" w:styleId="BalloonText">
    <w:name w:val="Balloon Text"/>
    <w:basedOn w:val="Normal"/>
    <w:link w:val="BalloonTextChar"/>
    <w:uiPriority w:val="99"/>
    <w:semiHidden/>
    <w:unhideWhenUsed/>
    <w:rsid w:val="00353BD9"/>
    <w:rPr>
      <w:rFonts w:ascii="Tahoma" w:hAnsi="Tahoma" w:cs="Tahoma"/>
      <w:sz w:val="16"/>
      <w:szCs w:val="16"/>
    </w:rPr>
  </w:style>
  <w:style w:type="character" w:customStyle="1" w:styleId="BalloonTextChar">
    <w:name w:val="Balloon Text Char"/>
    <w:link w:val="BalloonText"/>
    <w:uiPriority w:val="99"/>
    <w:semiHidden/>
    <w:rsid w:val="00353BD9"/>
    <w:rPr>
      <w:rFonts w:ascii="Tahoma" w:hAnsi="Tahoma" w:cs="Tahoma"/>
      <w:sz w:val="16"/>
      <w:szCs w:val="16"/>
    </w:rPr>
  </w:style>
  <w:style w:type="paragraph" w:customStyle="1" w:styleId="ColorfulList-Accent11">
    <w:name w:val="Colorful List - Accent 11"/>
    <w:basedOn w:val="Normal"/>
    <w:link w:val="ColorfulList-Accent1Char1"/>
    <w:uiPriority w:val="34"/>
    <w:qFormat/>
    <w:rsid w:val="00353BD9"/>
    <w:pPr>
      <w:spacing w:after="160" w:line="259" w:lineRule="auto"/>
      <w:ind w:left="720"/>
      <w:contextualSpacing/>
    </w:pPr>
    <w:rPr>
      <w:rFonts w:ascii="Arial" w:hAnsi="Arial"/>
      <w:sz w:val="22"/>
      <w:szCs w:val="22"/>
    </w:rPr>
  </w:style>
  <w:style w:type="paragraph" w:styleId="Title">
    <w:name w:val="Title"/>
    <w:basedOn w:val="Normal"/>
    <w:link w:val="TitleChar"/>
    <w:qFormat/>
    <w:rsid w:val="00FD15EB"/>
    <w:pPr>
      <w:tabs>
        <w:tab w:val="left" w:pos="1440"/>
        <w:tab w:val="left" w:pos="3060"/>
      </w:tabs>
      <w:jc w:val="center"/>
      <w:outlineLvl w:val="0"/>
    </w:pPr>
    <w:rPr>
      <w:sz w:val="22"/>
      <w:szCs w:val="20"/>
    </w:rPr>
  </w:style>
  <w:style w:type="character" w:customStyle="1" w:styleId="TitleChar">
    <w:name w:val="Title Char"/>
    <w:link w:val="Title"/>
    <w:rsid w:val="00FD15EB"/>
    <w:rPr>
      <w:rFonts w:ascii="Times New Roman" w:eastAsia="Times New Roman" w:hAnsi="Times New Roman" w:cs="Times New Roman"/>
      <w:sz w:val="24"/>
      <w:szCs w:val="20"/>
    </w:rPr>
  </w:style>
  <w:style w:type="paragraph" w:customStyle="1" w:styleId="Newpage">
    <w:name w:val="Newpage"/>
    <w:basedOn w:val="Normal"/>
    <w:rsid w:val="00FD15EB"/>
    <w:pPr>
      <w:tabs>
        <w:tab w:val="left" w:pos="1440"/>
        <w:tab w:val="left" w:pos="3060"/>
      </w:tabs>
      <w:jc w:val="center"/>
    </w:pPr>
    <w:rPr>
      <w:rFonts w:cs="Arial"/>
      <w:b/>
      <w:smallCaps/>
      <w:sz w:val="22"/>
      <w:szCs w:val="20"/>
    </w:rPr>
  </w:style>
  <w:style w:type="paragraph" w:customStyle="1" w:styleId="Listavistosa-nfasis11">
    <w:name w:val="Lista vistosa - Énfasis 11"/>
    <w:basedOn w:val="Normal"/>
    <w:link w:val="Listavistosa-nfasis1Car"/>
    <w:uiPriority w:val="34"/>
    <w:qFormat/>
    <w:rsid w:val="00A437CC"/>
    <w:pPr>
      <w:ind w:left="720"/>
      <w:contextualSpacing/>
    </w:pPr>
    <w:rPr>
      <w:rFonts w:ascii="Calibri" w:hAnsi="Calibri"/>
      <w:sz w:val="22"/>
      <w:szCs w:val="22"/>
      <w:lang w:val="es-ES_tradnl"/>
    </w:rPr>
  </w:style>
  <w:style w:type="character" w:customStyle="1" w:styleId="Listavistosa-nfasis1Car">
    <w:name w:val="Lista vistosa - Énfasis 1 Car"/>
    <w:link w:val="Listavistosa-nfasis11"/>
    <w:uiPriority w:val="34"/>
    <w:rsid w:val="00A437CC"/>
    <w:rPr>
      <w:rFonts w:ascii="Calibri" w:eastAsia="Calibri" w:hAnsi="Calibri" w:cs="Times New Roman"/>
      <w:lang w:val="es-ES_tradnl"/>
    </w:rPr>
  </w:style>
  <w:style w:type="character" w:customStyle="1" w:styleId="Heading1Char">
    <w:name w:val="Heading 1 Char"/>
    <w:aliases w:val="Heading 1.I Char"/>
    <w:link w:val="Heading1"/>
    <w:uiPriority w:val="9"/>
    <w:rsid w:val="00216A0C"/>
    <w:rPr>
      <w:rFonts w:ascii="Arial" w:eastAsia="Times New Roman" w:hAnsi="Arial" w:cs="Arial"/>
      <w:b/>
      <w:bCs/>
      <w:sz w:val="22"/>
      <w:szCs w:val="28"/>
      <w:lang w:val="es-ES_tradnl"/>
    </w:rPr>
  </w:style>
  <w:style w:type="paragraph" w:styleId="TOCHeading">
    <w:name w:val="TOC Heading"/>
    <w:basedOn w:val="Heading1"/>
    <w:next w:val="Normal"/>
    <w:uiPriority w:val="39"/>
    <w:semiHidden/>
    <w:unhideWhenUsed/>
    <w:qFormat/>
    <w:rsid w:val="00AA7F2E"/>
    <w:pPr>
      <w:spacing w:line="276" w:lineRule="auto"/>
      <w:outlineLvl w:val="9"/>
    </w:pPr>
    <w:rPr>
      <w:lang w:eastAsia="ja-JP"/>
    </w:rPr>
  </w:style>
  <w:style w:type="paragraph" w:customStyle="1" w:styleId="Chapter">
    <w:name w:val="Chapter"/>
    <w:basedOn w:val="Normal"/>
    <w:next w:val="Normal"/>
    <w:link w:val="ChapterChar"/>
    <w:rsid w:val="00AA7F2E"/>
    <w:pPr>
      <w:keepNext/>
      <w:numPr>
        <w:numId w:val="3"/>
      </w:numPr>
      <w:tabs>
        <w:tab w:val="num" w:pos="648"/>
        <w:tab w:val="left" w:pos="1440"/>
      </w:tabs>
      <w:spacing w:before="240" w:after="240"/>
      <w:jc w:val="center"/>
    </w:pPr>
    <w:rPr>
      <w:b/>
      <w:smallCaps/>
      <w:sz w:val="22"/>
      <w:szCs w:val="22"/>
      <w:lang w:val="es-ES"/>
    </w:rPr>
  </w:style>
  <w:style w:type="character" w:customStyle="1" w:styleId="ColorfulList-Accent1Char1">
    <w:name w:val="Colorful List - Accent 1 Char1"/>
    <w:basedOn w:val="DefaultParagraphFont"/>
    <w:link w:val="ColorfulList-Accent11"/>
    <w:uiPriority w:val="34"/>
    <w:rsid w:val="00AA7F2E"/>
  </w:style>
  <w:style w:type="character" w:customStyle="1" w:styleId="ChapterChar">
    <w:name w:val="Chapter Char"/>
    <w:link w:val="Chapter"/>
    <w:rsid w:val="00AA7F2E"/>
    <w:rPr>
      <w:rFonts w:ascii="Times New Roman" w:hAnsi="Times New Roman"/>
      <w:b/>
      <w:smallCaps/>
      <w:sz w:val="22"/>
      <w:szCs w:val="22"/>
      <w:lang w:val="es-ES"/>
    </w:rPr>
  </w:style>
  <w:style w:type="paragraph" w:customStyle="1" w:styleId="FirstHeading">
    <w:name w:val="FirstHeading"/>
    <w:basedOn w:val="Normal"/>
    <w:next w:val="Normal"/>
    <w:link w:val="FirstHeadingChar"/>
    <w:rsid w:val="00AA7F2E"/>
    <w:pPr>
      <w:keepNext/>
      <w:numPr>
        <w:numId w:val="1"/>
      </w:numPr>
      <w:tabs>
        <w:tab w:val="left" w:pos="0"/>
        <w:tab w:val="left" w:pos="86"/>
      </w:tabs>
      <w:spacing w:before="120" w:after="120"/>
    </w:pPr>
    <w:rPr>
      <w:b/>
      <w:sz w:val="22"/>
      <w:szCs w:val="22"/>
      <w:lang w:val="es-ES"/>
    </w:rPr>
  </w:style>
  <w:style w:type="character" w:customStyle="1" w:styleId="FirstHeadingChar">
    <w:name w:val="FirstHeading Char"/>
    <w:link w:val="FirstHeading"/>
    <w:rsid w:val="00AA7F2E"/>
    <w:rPr>
      <w:rFonts w:ascii="Times New Roman" w:hAnsi="Times New Roman"/>
      <w:b/>
      <w:sz w:val="22"/>
      <w:szCs w:val="22"/>
      <w:lang w:val="es-ES"/>
    </w:rPr>
  </w:style>
  <w:style w:type="paragraph" w:customStyle="1" w:styleId="SecHeading">
    <w:name w:val="SecHeading"/>
    <w:basedOn w:val="Normal"/>
    <w:next w:val="Paragraph"/>
    <w:link w:val="SecHeadingChar"/>
    <w:rsid w:val="00AA7F2E"/>
    <w:pPr>
      <w:keepNext/>
      <w:tabs>
        <w:tab w:val="num" w:pos="1296"/>
      </w:tabs>
      <w:spacing w:before="120" w:after="120"/>
      <w:ind w:left="1296" w:hanging="576"/>
    </w:pPr>
    <w:rPr>
      <w:b/>
      <w:sz w:val="22"/>
      <w:szCs w:val="22"/>
      <w:lang w:val="es-ES"/>
    </w:rPr>
  </w:style>
  <w:style w:type="character" w:customStyle="1" w:styleId="SecHeadingChar">
    <w:name w:val="SecHeading Char"/>
    <w:link w:val="SecHeading"/>
    <w:rsid w:val="00AA7F2E"/>
    <w:rPr>
      <w:rFonts w:ascii="Times New Roman" w:hAnsi="Times New Roman" w:cs="Times New Roman"/>
      <w:b/>
      <w:sz w:val="24"/>
      <w:lang w:val="es-ES"/>
    </w:rPr>
  </w:style>
  <w:style w:type="paragraph" w:customStyle="1" w:styleId="SubHeading1">
    <w:name w:val="SubHeading1"/>
    <w:basedOn w:val="SecHeading"/>
    <w:link w:val="SubHeading1Char"/>
    <w:rsid w:val="00AA7F2E"/>
    <w:pPr>
      <w:tabs>
        <w:tab w:val="clear" w:pos="1296"/>
        <w:tab w:val="num" w:pos="1872"/>
      </w:tabs>
      <w:ind w:left="1872"/>
    </w:pPr>
  </w:style>
  <w:style w:type="character" w:customStyle="1" w:styleId="SubHeading1Char">
    <w:name w:val="SubHeading1 Char"/>
    <w:link w:val="SubHeading1"/>
    <w:rsid w:val="00AA7F2E"/>
    <w:rPr>
      <w:rFonts w:ascii="Times New Roman" w:hAnsi="Times New Roman" w:cs="Times New Roman"/>
      <w:b/>
      <w:sz w:val="24"/>
      <w:lang w:val="es-ES"/>
    </w:rPr>
  </w:style>
  <w:style w:type="paragraph" w:customStyle="1" w:styleId="Subheading2">
    <w:name w:val="Subheading2"/>
    <w:basedOn w:val="SecHeading"/>
    <w:link w:val="Subheading2Char"/>
    <w:rsid w:val="00AA7F2E"/>
    <w:pPr>
      <w:tabs>
        <w:tab w:val="clear" w:pos="1296"/>
        <w:tab w:val="num" w:pos="2376"/>
      </w:tabs>
      <w:ind w:left="2376" w:hanging="288"/>
    </w:pPr>
  </w:style>
  <w:style w:type="character" w:customStyle="1" w:styleId="Subheading2Char">
    <w:name w:val="Subheading2 Char"/>
    <w:link w:val="Subheading2"/>
    <w:rsid w:val="00AA7F2E"/>
    <w:rPr>
      <w:rFonts w:ascii="Times New Roman" w:hAnsi="Times New Roman" w:cs="Times New Roman"/>
      <w:b/>
      <w:sz w:val="24"/>
      <w:lang w:val="es-ES"/>
    </w:rPr>
  </w:style>
  <w:style w:type="paragraph" w:customStyle="1" w:styleId="Paragraph">
    <w:name w:val="Paragraph"/>
    <w:aliases w:val="paragraph,p,PARAGRAPH,PG,pa,at"/>
    <w:basedOn w:val="BodyTextIndent"/>
    <w:link w:val="ParagraphChar"/>
    <w:qFormat/>
    <w:rsid w:val="00AA7F2E"/>
    <w:pPr>
      <w:tabs>
        <w:tab w:val="num" w:pos="720"/>
      </w:tabs>
      <w:spacing w:before="120"/>
      <w:ind w:left="720" w:hanging="720"/>
      <w:jc w:val="both"/>
      <w:outlineLvl w:val="1"/>
    </w:pPr>
    <w:rPr>
      <w:lang w:val="es-ES"/>
    </w:rPr>
  </w:style>
  <w:style w:type="character" w:customStyle="1" w:styleId="ParagraphChar">
    <w:name w:val="Paragraph Char"/>
    <w:link w:val="Paragraph"/>
    <w:rsid w:val="00AA7F2E"/>
    <w:rPr>
      <w:rFonts w:ascii="Times New Roman" w:hAnsi="Times New Roman" w:cs="Times New Roman"/>
      <w:sz w:val="24"/>
      <w:lang w:val="es-ES"/>
    </w:rPr>
  </w:style>
  <w:style w:type="paragraph" w:customStyle="1" w:styleId="subpar">
    <w:name w:val="subpar"/>
    <w:basedOn w:val="BodyTextIndent3"/>
    <w:link w:val="subparChar"/>
    <w:rsid w:val="00AA7F2E"/>
    <w:pPr>
      <w:tabs>
        <w:tab w:val="num" w:pos="1152"/>
      </w:tabs>
      <w:spacing w:before="120"/>
      <w:ind w:left="1152" w:hanging="432"/>
      <w:jc w:val="both"/>
      <w:outlineLvl w:val="2"/>
    </w:pPr>
    <w:rPr>
      <w:lang w:val="es-ES"/>
    </w:rPr>
  </w:style>
  <w:style w:type="character" w:customStyle="1" w:styleId="subparChar">
    <w:name w:val="subpar Char"/>
    <w:link w:val="subpar"/>
    <w:rsid w:val="00AA7F2E"/>
    <w:rPr>
      <w:rFonts w:ascii="Times New Roman" w:hAnsi="Times New Roman" w:cs="Times New Roman"/>
      <w:sz w:val="24"/>
      <w:szCs w:val="16"/>
      <w:lang w:val="es-ES"/>
    </w:rPr>
  </w:style>
  <w:style w:type="paragraph" w:customStyle="1" w:styleId="SubSubPar">
    <w:name w:val="SubSubPar"/>
    <w:basedOn w:val="subpar"/>
    <w:link w:val="SubSubParChar"/>
    <w:uiPriority w:val="99"/>
    <w:rsid w:val="00AA7F2E"/>
    <w:pPr>
      <w:tabs>
        <w:tab w:val="clear" w:pos="1152"/>
        <w:tab w:val="left" w:pos="0"/>
        <w:tab w:val="num" w:pos="1296"/>
      </w:tabs>
      <w:ind w:left="1296" w:hanging="288"/>
    </w:pPr>
  </w:style>
  <w:style w:type="character" w:customStyle="1" w:styleId="SubSubParChar">
    <w:name w:val="SubSubPar Char"/>
    <w:link w:val="SubSubPar"/>
    <w:rsid w:val="00AA7F2E"/>
    <w:rPr>
      <w:rFonts w:ascii="Times New Roman" w:hAnsi="Times New Roman" w:cs="Times New Roman"/>
      <w:sz w:val="24"/>
      <w:szCs w:val="16"/>
      <w:lang w:val="es-ES"/>
    </w:rPr>
  </w:style>
  <w:style w:type="paragraph" w:customStyle="1" w:styleId="Regtable">
    <w:name w:val="Regtable"/>
    <w:basedOn w:val="Normal"/>
    <w:link w:val="RegtableChar"/>
    <w:rsid w:val="00AA7F2E"/>
    <w:pPr>
      <w:keepLines/>
      <w:framePr w:wrap="around" w:vAnchor="text" w:hAnchor="text" w:y="1"/>
      <w:spacing w:before="20" w:after="20"/>
    </w:pPr>
    <w:rPr>
      <w:sz w:val="20"/>
      <w:szCs w:val="22"/>
      <w:lang w:val="es-ES"/>
    </w:rPr>
  </w:style>
  <w:style w:type="character" w:customStyle="1" w:styleId="RegtableChar">
    <w:name w:val="Regtable Char"/>
    <w:link w:val="Regtable"/>
    <w:rsid w:val="00AA7F2E"/>
    <w:rPr>
      <w:rFonts w:ascii="Times New Roman" w:hAnsi="Times New Roman" w:cs="Times New Roman"/>
      <w:sz w:val="20"/>
      <w:lang w:val="es-ES"/>
    </w:rPr>
  </w:style>
  <w:style w:type="paragraph" w:customStyle="1" w:styleId="TableTitle">
    <w:name w:val="TableTitle"/>
    <w:basedOn w:val="Normal"/>
    <w:link w:val="TableTitleChar"/>
    <w:rsid w:val="00AA7F2E"/>
    <w:pPr>
      <w:keepNext/>
      <w:framePr w:wrap="around" w:vAnchor="text" w:hAnchor="text" w:y="1"/>
      <w:spacing w:before="20" w:after="20"/>
      <w:jc w:val="center"/>
    </w:pPr>
    <w:rPr>
      <w:rFonts w:ascii="Times New Roman Bold" w:hAnsi="Times New Roman Bold"/>
      <w:b/>
      <w:spacing w:val="-3"/>
      <w:sz w:val="20"/>
      <w:szCs w:val="22"/>
      <w:lang w:val="es-ES"/>
    </w:rPr>
  </w:style>
  <w:style w:type="character" w:customStyle="1" w:styleId="TableTitleChar">
    <w:name w:val="TableTitle Char"/>
    <w:link w:val="TableTitle"/>
    <w:rsid w:val="00AA7F2E"/>
    <w:rPr>
      <w:rFonts w:ascii="Times New Roman Bold" w:hAnsi="Times New Roman Bold"/>
      <w:b/>
      <w:spacing w:val="-3"/>
      <w:sz w:val="20"/>
      <w:lang w:val="es-ES"/>
    </w:rPr>
  </w:style>
  <w:style w:type="character" w:customStyle="1" w:styleId="Heading2Char">
    <w:name w:val="Heading 2 Char"/>
    <w:link w:val="Heading2"/>
    <w:uiPriority w:val="9"/>
    <w:rsid w:val="00993C0D"/>
    <w:rPr>
      <w:rFonts w:ascii="Arial" w:eastAsia="Times New Roman" w:hAnsi="Arial"/>
      <w:b/>
      <w:bCs/>
      <w:sz w:val="22"/>
      <w:szCs w:val="22"/>
      <w:lang w:val="es-ES" w:eastAsia="ko-KR"/>
    </w:rPr>
  </w:style>
  <w:style w:type="character" w:customStyle="1" w:styleId="Heading3Char">
    <w:name w:val="Heading 3 Char"/>
    <w:link w:val="Heading3"/>
    <w:uiPriority w:val="9"/>
    <w:rsid w:val="00AA7F2E"/>
    <w:rPr>
      <w:rFonts w:ascii="Calibri Light" w:eastAsia="Times New Roman" w:hAnsi="Calibri Light"/>
      <w:b/>
      <w:bCs/>
      <w:color w:val="5B9BD5"/>
      <w:sz w:val="22"/>
      <w:szCs w:val="22"/>
    </w:rPr>
  </w:style>
  <w:style w:type="character" w:customStyle="1" w:styleId="Heading4Char">
    <w:name w:val="Heading 4 Char"/>
    <w:aliases w:val="Heading 4.a Char"/>
    <w:link w:val="Heading4"/>
    <w:uiPriority w:val="9"/>
    <w:rsid w:val="00AA7F2E"/>
    <w:rPr>
      <w:rFonts w:ascii="Calibri Light" w:eastAsia="Times New Roman" w:hAnsi="Calibri Light"/>
      <w:b/>
      <w:bCs/>
      <w:i/>
      <w:iCs/>
      <w:color w:val="5B9BD5"/>
      <w:sz w:val="22"/>
      <w:szCs w:val="22"/>
    </w:rPr>
  </w:style>
  <w:style w:type="character" w:customStyle="1" w:styleId="Heading6Char">
    <w:name w:val="Heading 6 Char"/>
    <w:link w:val="Heading6"/>
    <w:rsid w:val="00AA7F2E"/>
    <w:rPr>
      <w:rFonts w:ascii="Calibri Light" w:eastAsia="Times New Roman" w:hAnsi="Calibri Light"/>
      <w:i/>
      <w:iCs/>
      <w:color w:val="1F4D78"/>
      <w:sz w:val="22"/>
      <w:szCs w:val="22"/>
    </w:rPr>
  </w:style>
  <w:style w:type="character" w:customStyle="1" w:styleId="Heading7Char">
    <w:name w:val="Heading 7 Char"/>
    <w:link w:val="Heading7"/>
    <w:rsid w:val="00AA7F2E"/>
    <w:rPr>
      <w:rFonts w:ascii="Calibri Light" w:eastAsia="Times New Roman" w:hAnsi="Calibri Light"/>
      <w:i/>
      <w:iCs/>
      <w:color w:val="404040"/>
      <w:sz w:val="22"/>
      <w:szCs w:val="22"/>
    </w:rPr>
  </w:style>
  <w:style w:type="character" w:customStyle="1" w:styleId="Heading8Char">
    <w:name w:val="Heading 8 Char"/>
    <w:link w:val="Heading8"/>
    <w:rsid w:val="00AA7F2E"/>
    <w:rPr>
      <w:rFonts w:ascii="Calibri Light" w:eastAsia="Times New Roman" w:hAnsi="Calibri Light"/>
      <w:color w:val="404040"/>
    </w:rPr>
  </w:style>
  <w:style w:type="character" w:customStyle="1" w:styleId="Heading9Char">
    <w:name w:val="Heading 9 Char"/>
    <w:link w:val="Heading9"/>
    <w:rsid w:val="00AA7F2E"/>
    <w:rPr>
      <w:rFonts w:ascii="Calibri Light" w:eastAsia="Times New Roman" w:hAnsi="Calibri Light"/>
      <w:i/>
      <w:iCs/>
      <w:color w:val="404040"/>
    </w:rPr>
  </w:style>
  <w:style w:type="paragraph" w:styleId="BodyTextIndent">
    <w:name w:val="Body Text Indent"/>
    <w:basedOn w:val="Normal"/>
    <w:link w:val="BodyTextIndentChar"/>
    <w:uiPriority w:val="99"/>
    <w:semiHidden/>
    <w:unhideWhenUsed/>
    <w:rsid w:val="00AA7F2E"/>
    <w:pPr>
      <w:spacing w:after="120"/>
      <w:ind w:left="360"/>
    </w:pPr>
    <w:rPr>
      <w:sz w:val="22"/>
      <w:szCs w:val="22"/>
    </w:rPr>
  </w:style>
  <w:style w:type="character" w:customStyle="1" w:styleId="BodyTextIndentChar">
    <w:name w:val="Body Text Indent Char"/>
    <w:link w:val="BodyTextIndent"/>
    <w:uiPriority w:val="99"/>
    <w:semiHidden/>
    <w:rsid w:val="00AA7F2E"/>
    <w:rPr>
      <w:rFonts w:ascii="Times New Roman" w:hAnsi="Times New Roman" w:cs="Times New Roman"/>
      <w:sz w:val="24"/>
    </w:rPr>
  </w:style>
  <w:style w:type="paragraph" w:styleId="BodyTextIndent3">
    <w:name w:val="Body Text Indent 3"/>
    <w:basedOn w:val="Normal"/>
    <w:link w:val="BodyTextIndent3Char"/>
    <w:uiPriority w:val="99"/>
    <w:semiHidden/>
    <w:unhideWhenUsed/>
    <w:rsid w:val="00AA7F2E"/>
    <w:pPr>
      <w:spacing w:after="120"/>
      <w:ind w:left="360"/>
    </w:pPr>
    <w:rPr>
      <w:sz w:val="22"/>
      <w:szCs w:val="16"/>
    </w:rPr>
  </w:style>
  <w:style w:type="character" w:customStyle="1" w:styleId="BodyTextIndent3Char">
    <w:name w:val="Body Text Indent 3 Char"/>
    <w:link w:val="BodyTextIndent3"/>
    <w:uiPriority w:val="99"/>
    <w:semiHidden/>
    <w:rsid w:val="00AA7F2E"/>
    <w:rPr>
      <w:rFonts w:ascii="Times New Roman" w:hAnsi="Times New Roman" w:cs="Times New Roman"/>
      <w:sz w:val="24"/>
      <w:szCs w:val="16"/>
    </w:rPr>
  </w:style>
  <w:style w:type="paragraph" w:styleId="TOC1">
    <w:name w:val="toc 1"/>
    <w:basedOn w:val="Normal"/>
    <w:next w:val="Normal"/>
    <w:autoRedefine/>
    <w:uiPriority w:val="39"/>
    <w:unhideWhenUsed/>
    <w:rsid w:val="00AA7F2E"/>
    <w:pPr>
      <w:spacing w:before="120" w:line="259" w:lineRule="auto"/>
    </w:pPr>
    <w:rPr>
      <w:rFonts w:asciiTheme="minorHAnsi" w:hAnsiTheme="minorHAnsi"/>
      <w:b/>
      <w:sz w:val="22"/>
      <w:szCs w:val="22"/>
    </w:rPr>
  </w:style>
  <w:style w:type="paragraph" w:styleId="TOC2">
    <w:name w:val="toc 2"/>
    <w:basedOn w:val="Normal"/>
    <w:next w:val="Normal"/>
    <w:autoRedefine/>
    <w:uiPriority w:val="39"/>
    <w:unhideWhenUsed/>
    <w:rsid w:val="00361A79"/>
    <w:pPr>
      <w:spacing w:line="259" w:lineRule="auto"/>
      <w:ind w:left="240"/>
    </w:pPr>
    <w:rPr>
      <w:rFonts w:asciiTheme="minorHAnsi" w:hAnsiTheme="minorHAnsi"/>
      <w:i/>
      <w:sz w:val="22"/>
      <w:szCs w:val="22"/>
    </w:rPr>
  </w:style>
  <w:style w:type="paragraph" w:styleId="TOC3">
    <w:name w:val="toc 3"/>
    <w:basedOn w:val="Normal"/>
    <w:next w:val="Normal"/>
    <w:autoRedefine/>
    <w:uiPriority w:val="39"/>
    <w:unhideWhenUsed/>
    <w:rsid w:val="00AA7F2E"/>
    <w:pPr>
      <w:spacing w:line="259" w:lineRule="auto"/>
      <w:ind w:left="480"/>
    </w:pPr>
    <w:rPr>
      <w:rFonts w:asciiTheme="minorHAnsi" w:hAnsiTheme="minorHAnsi"/>
      <w:sz w:val="22"/>
      <w:szCs w:val="22"/>
    </w:rPr>
  </w:style>
  <w:style w:type="character" w:styleId="CommentReference">
    <w:name w:val="annotation reference"/>
    <w:uiPriority w:val="99"/>
    <w:rsid w:val="002356B7"/>
    <w:rPr>
      <w:sz w:val="16"/>
      <w:szCs w:val="16"/>
    </w:rPr>
  </w:style>
  <w:style w:type="paragraph" w:styleId="CommentText">
    <w:name w:val="annotation text"/>
    <w:basedOn w:val="Normal"/>
    <w:link w:val="CommentTextChar"/>
    <w:uiPriority w:val="99"/>
    <w:rsid w:val="002356B7"/>
    <w:rPr>
      <w:spacing w:val="-3"/>
      <w:sz w:val="20"/>
      <w:szCs w:val="20"/>
      <w:lang w:val="es-ES_tradnl"/>
    </w:rPr>
  </w:style>
  <w:style w:type="character" w:customStyle="1" w:styleId="CommentTextChar">
    <w:name w:val="Comment Text Char"/>
    <w:link w:val="CommentText"/>
    <w:uiPriority w:val="99"/>
    <w:rsid w:val="002356B7"/>
    <w:rPr>
      <w:rFonts w:ascii="Times New Roman" w:eastAsia="Times New Roman" w:hAnsi="Times New Roman" w:cs="Times New Roman"/>
      <w:spacing w:val="-3"/>
      <w:sz w:val="20"/>
      <w:szCs w:val="20"/>
      <w:lang w:val="es-ES_tradnl"/>
    </w:rPr>
  </w:style>
  <w:style w:type="paragraph" w:customStyle="1" w:styleId="AutoNumpara">
    <w:name w:val="AutoNumpara"/>
    <w:basedOn w:val="BodyTextIndent"/>
    <w:rsid w:val="002356B7"/>
    <w:pPr>
      <w:tabs>
        <w:tab w:val="num" w:pos="720"/>
      </w:tabs>
      <w:spacing w:before="120"/>
      <w:ind w:left="720" w:hanging="720"/>
      <w:jc w:val="both"/>
    </w:pPr>
    <w:rPr>
      <w:noProof/>
      <w:spacing w:val="-2"/>
      <w:szCs w:val="20"/>
      <w:lang w:val="es-ES_tradnl"/>
    </w:rPr>
  </w:style>
  <w:style w:type="paragraph" w:customStyle="1" w:styleId="ColorfulList-Accent110">
    <w:name w:val="Colorful List - Accent 110"/>
    <w:basedOn w:val="Normal"/>
    <w:link w:val="ColorfulList-Accent1Char"/>
    <w:uiPriority w:val="34"/>
    <w:qFormat/>
    <w:rsid w:val="00CE3C89"/>
    <w:pPr>
      <w:ind w:left="720"/>
      <w:contextualSpacing/>
    </w:pPr>
    <w:rPr>
      <w:rFonts w:ascii="Calibri" w:hAnsi="Calibri"/>
      <w:sz w:val="22"/>
      <w:szCs w:val="22"/>
      <w:lang w:val="es-ES_tradnl"/>
    </w:rPr>
  </w:style>
  <w:style w:type="character" w:customStyle="1" w:styleId="ColorfulList-Accent1Char">
    <w:name w:val="Colorful List - Accent 1 Char"/>
    <w:link w:val="ColorfulList-Accent110"/>
    <w:uiPriority w:val="34"/>
    <w:rsid w:val="00337974"/>
    <w:rPr>
      <w:rFonts w:ascii="Calibri" w:eastAsia="Calibri" w:hAnsi="Calibri" w:cs="Times New Roman"/>
      <w:lang w:val="es-ES_tradnl"/>
    </w:rPr>
  </w:style>
  <w:style w:type="paragraph" w:customStyle="1" w:styleId="Contedodetabela">
    <w:name w:val="Conteúdo de tabela"/>
    <w:basedOn w:val="Normal"/>
    <w:rsid w:val="00220ABD"/>
    <w:pPr>
      <w:widowControl w:val="0"/>
      <w:suppressLineNumbers/>
      <w:suppressAutoHyphens/>
    </w:pPr>
    <w:rPr>
      <w:rFonts w:eastAsia="Bitstream Vera Sans" w:cs="Bitstream Vera Sans"/>
      <w:kern w:val="1"/>
      <w:sz w:val="22"/>
      <w:lang w:val="pt-BR" w:eastAsia="hi-IN" w:bidi="hi-IN"/>
    </w:rPr>
  </w:style>
  <w:style w:type="character" w:customStyle="1" w:styleId="HeaderChar">
    <w:name w:val="Header Char"/>
    <w:link w:val="Header"/>
    <w:uiPriority w:val="99"/>
    <w:rsid w:val="00D0597E"/>
    <w:rPr>
      <w:rFonts w:ascii="Times New Roman" w:eastAsia="Times New Roman" w:hAnsi="Times New Roman"/>
      <w:spacing w:val="-3"/>
      <w:lang w:val="es-ES_tradnl"/>
    </w:rPr>
  </w:style>
  <w:style w:type="character" w:customStyle="1" w:styleId="z-TopofFormChar">
    <w:name w:val="z-Top of Form Char"/>
    <w:link w:val="z-TopofForm"/>
    <w:uiPriority w:val="99"/>
    <w:rsid w:val="00D0597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0597E"/>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D0597E"/>
    <w:rPr>
      <w:rFonts w:ascii="Arial" w:eastAsia="Times New Roman" w:hAnsi="Arial" w:cs="Times New Roman"/>
      <w:vanish/>
      <w:sz w:val="16"/>
      <w:szCs w:val="16"/>
      <w:lang w:val="x-none" w:eastAsia="x-none"/>
    </w:rPr>
  </w:style>
  <w:style w:type="paragraph" w:customStyle="1" w:styleId="Corpo">
    <w:name w:val="Corpo"/>
    <w:rsid w:val="00D0597E"/>
    <w:pPr>
      <w:pBdr>
        <w:top w:val="nil"/>
        <w:left w:val="nil"/>
        <w:bottom w:val="nil"/>
        <w:right w:val="nil"/>
        <w:between w:val="nil"/>
        <w:bar w:val="nil"/>
      </w:pBdr>
    </w:pPr>
    <w:rPr>
      <w:rFonts w:ascii="Times New Roman" w:eastAsia="Arial Unicode MS" w:hAnsi="Arial Unicode MS" w:cs="Arial Unicode MS"/>
      <w:color w:val="000000"/>
      <w:u w:color="000000"/>
      <w:bdr w:val="nil"/>
      <w:lang w:val="pt-PT" w:eastAsia="pt-BR"/>
    </w:rPr>
  </w:style>
  <w:style w:type="paragraph" w:styleId="Header">
    <w:name w:val="header"/>
    <w:basedOn w:val="Normal"/>
    <w:link w:val="HeaderChar"/>
    <w:uiPriority w:val="99"/>
    <w:unhideWhenUsed/>
    <w:rsid w:val="00D0597E"/>
    <w:pPr>
      <w:tabs>
        <w:tab w:val="center" w:pos="4680"/>
        <w:tab w:val="right" w:pos="9360"/>
      </w:tabs>
    </w:pPr>
    <w:rPr>
      <w:spacing w:val="-3"/>
      <w:sz w:val="22"/>
      <w:szCs w:val="22"/>
      <w:lang w:val="es-ES_tradnl"/>
    </w:rPr>
  </w:style>
  <w:style w:type="character" w:customStyle="1" w:styleId="HeaderChar1">
    <w:name w:val="Header Char1"/>
    <w:basedOn w:val="DefaultParagraphFont"/>
    <w:uiPriority w:val="99"/>
    <w:semiHidden/>
    <w:rsid w:val="00D0597E"/>
  </w:style>
  <w:style w:type="paragraph" w:styleId="z-TopofForm">
    <w:name w:val="HTML Top of Form"/>
    <w:basedOn w:val="Normal"/>
    <w:next w:val="Normal"/>
    <w:link w:val="z-TopofFormChar"/>
    <w:hidden/>
    <w:uiPriority w:val="99"/>
    <w:semiHidden/>
    <w:unhideWhenUsed/>
    <w:rsid w:val="00D0597E"/>
    <w:pPr>
      <w:pBdr>
        <w:bottom w:val="single" w:sz="6" w:space="1" w:color="auto"/>
      </w:pBdr>
      <w:spacing w:line="259" w:lineRule="auto"/>
      <w:jc w:val="center"/>
    </w:pPr>
    <w:rPr>
      <w:rFonts w:ascii="Arial" w:hAnsi="Arial" w:cs="Arial"/>
      <w:vanish/>
      <w:sz w:val="16"/>
      <w:szCs w:val="16"/>
    </w:rPr>
  </w:style>
  <w:style w:type="character" w:customStyle="1" w:styleId="z-TopofFormChar1">
    <w:name w:val="z-Top of Form Char1"/>
    <w:uiPriority w:val="99"/>
    <w:semiHidden/>
    <w:rsid w:val="00D0597E"/>
    <w:rPr>
      <w:rFonts w:ascii="Arial" w:hAnsi="Arial" w:cs="Arial"/>
      <w:vanish/>
      <w:sz w:val="16"/>
      <w:szCs w:val="16"/>
    </w:rPr>
  </w:style>
  <w:style w:type="paragraph" w:styleId="Footer">
    <w:name w:val="footer"/>
    <w:basedOn w:val="Normal"/>
    <w:link w:val="FooterChar"/>
    <w:uiPriority w:val="99"/>
    <w:unhideWhenUsed/>
    <w:rsid w:val="00F000F0"/>
    <w:pPr>
      <w:tabs>
        <w:tab w:val="center" w:pos="4680"/>
        <w:tab w:val="right" w:pos="9360"/>
      </w:tabs>
      <w:spacing w:after="160" w:line="259" w:lineRule="auto"/>
    </w:pPr>
    <w:rPr>
      <w:rFonts w:ascii="Arial" w:hAnsi="Arial"/>
      <w:sz w:val="22"/>
      <w:szCs w:val="22"/>
    </w:rPr>
  </w:style>
  <w:style w:type="character" w:customStyle="1" w:styleId="FooterChar">
    <w:name w:val="Footer Char"/>
    <w:link w:val="Footer"/>
    <w:uiPriority w:val="99"/>
    <w:rsid w:val="00F000F0"/>
    <w:rPr>
      <w:sz w:val="22"/>
      <w:szCs w:val="22"/>
    </w:rPr>
  </w:style>
  <w:style w:type="paragraph" w:styleId="Caption">
    <w:name w:val="caption"/>
    <w:basedOn w:val="Normal"/>
    <w:next w:val="Normal"/>
    <w:autoRedefine/>
    <w:uiPriority w:val="35"/>
    <w:qFormat/>
    <w:rsid w:val="00CC7653"/>
    <w:pPr>
      <w:jc w:val="center"/>
    </w:pPr>
    <w:rPr>
      <w:rFonts w:ascii="Arial" w:eastAsia="Cambria" w:hAnsi="Arial" w:cs="Arial"/>
      <w:b/>
      <w:bCs/>
      <w:sz w:val="18"/>
      <w:szCs w:val="20"/>
      <w:lang w:val="es-ES_tradnl"/>
    </w:rPr>
  </w:style>
  <w:style w:type="paragraph" w:styleId="DocumentMap">
    <w:name w:val="Document Map"/>
    <w:basedOn w:val="Normal"/>
    <w:link w:val="DocumentMapChar"/>
    <w:uiPriority w:val="99"/>
    <w:semiHidden/>
    <w:unhideWhenUsed/>
    <w:rsid w:val="006970B6"/>
    <w:pPr>
      <w:spacing w:after="160" w:line="259" w:lineRule="auto"/>
    </w:pPr>
    <w:rPr>
      <w:rFonts w:ascii="Lucida Grande" w:hAnsi="Lucida Grande" w:cs="Lucida Grande"/>
      <w:sz w:val="22"/>
    </w:rPr>
  </w:style>
  <w:style w:type="character" w:customStyle="1" w:styleId="DocumentMapChar">
    <w:name w:val="Document Map Char"/>
    <w:link w:val="DocumentMap"/>
    <w:uiPriority w:val="99"/>
    <w:semiHidden/>
    <w:rsid w:val="006970B6"/>
    <w:rPr>
      <w:rFonts w:ascii="Lucida Grande" w:hAnsi="Lucida Grande" w:cs="Lucida Grande"/>
      <w:sz w:val="24"/>
      <w:szCs w:val="24"/>
    </w:rPr>
  </w:style>
  <w:style w:type="paragraph" w:styleId="CommentSubject">
    <w:name w:val="annotation subject"/>
    <w:basedOn w:val="CommentText"/>
    <w:next w:val="CommentText"/>
    <w:link w:val="CommentSubjectChar"/>
    <w:uiPriority w:val="99"/>
    <w:semiHidden/>
    <w:unhideWhenUsed/>
    <w:rsid w:val="005B08FD"/>
    <w:pPr>
      <w:spacing w:after="160"/>
    </w:pPr>
    <w:rPr>
      <w:rFonts w:eastAsia="Calibri"/>
      <w:b/>
      <w:bCs/>
      <w:spacing w:val="0"/>
      <w:lang w:val="en-US"/>
    </w:rPr>
  </w:style>
  <w:style w:type="character" w:customStyle="1" w:styleId="CommentSubjectChar">
    <w:name w:val="Comment Subject Char"/>
    <w:basedOn w:val="CommentTextChar"/>
    <w:link w:val="CommentSubject"/>
    <w:uiPriority w:val="99"/>
    <w:semiHidden/>
    <w:rsid w:val="005B08FD"/>
    <w:rPr>
      <w:rFonts w:ascii="Times New Roman" w:eastAsia="Times New Roman" w:hAnsi="Times New Roman" w:cs="Times New Roman"/>
      <w:b/>
      <w:bCs/>
      <w:spacing w:val="-3"/>
      <w:sz w:val="20"/>
      <w:szCs w:val="20"/>
      <w:lang w:val="es-ES_tradnl"/>
    </w:rPr>
  </w:style>
  <w:style w:type="table" w:styleId="MediumGrid3-Accent1">
    <w:name w:val="Medium Grid 3 Accent 1"/>
    <w:basedOn w:val="TableNormal"/>
    <w:uiPriority w:val="64"/>
    <w:rsid w:val="00B956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List2-Accent1">
    <w:name w:val="Medium List 2 Accent 1"/>
    <w:basedOn w:val="TableNormal"/>
    <w:uiPriority w:val="61"/>
    <w:rsid w:val="00B956B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30"/>
    <w:qFormat/>
    <w:rsid w:val="000D3F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8"/>
    <w:rsid w:val="0072224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link w:val="ListParagraphChar"/>
    <w:uiPriority w:val="34"/>
    <w:qFormat/>
    <w:rsid w:val="00825035"/>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825035"/>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361A79"/>
    <w:pPr>
      <w:spacing w:line="259" w:lineRule="auto"/>
      <w:ind w:left="720"/>
    </w:pPr>
    <w:rPr>
      <w:rFonts w:asciiTheme="minorHAnsi" w:hAnsiTheme="minorHAnsi"/>
      <w:sz w:val="20"/>
      <w:szCs w:val="20"/>
    </w:rPr>
  </w:style>
  <w:style w:type="paragraph" w:styleId="TOC5">
    <w:name w:val="toc 5"/>
    <w:basedOn w:val="Normal"/>
    <w:next w:val="Normal"/>
    <w:autoRedefine/>
    <w:uiPriority w:val="39"/>
    <w:unhideWhenUsed/>
    <w:rsid w:val="00361A79"/>
    <w:pPr>
      <w:spacing w:line="259" w:lineRule="auto"/>
      <w:ind w:left="960"/>
    </w:pPr>
    <w:rPr>
      <w:rFonts w:asciiTheme="minorHAnsi" w:hAnsiTheme="minorHAnsi"/>
      <w:sz w:val="20"/>
      <w:szCs w:val="20"/>
    </w:rPr>
  </w:style>
  <w:style w:type="paragraph" w:styleId="TOC6">
    <w:name w:val="toc 6"/>
    <w:basedOn w:val="Normal"/>
    <w:next w:val="Normal"/>
    <w:autoRedefine/>
    <w:uiPriority w:val="39"/>
    <w:unhideWhenUsed/>
    <w:rsid w:val="00361A79"/>
    <w:pPr>
      <w:spacing w:line="259" w:lineRule="auto"/>
      <w:ind w:left="1200"/>
    </w:pPr>
    <w:rPr>
      <w:rFonts w:asciiTheme="minorHAnsi" w:hAnsiTheme="minorHAnsi"/>
      <w:sz w:val="20"/>
      <w:szCs w:val="20"/>
    </w:rPr>
  </w:style>
  <w:style w:type="paragraph" w:styleId="TOC7">
    <w:name w:val="toc 7"/>
    <w:basedOn w:val="Normal"/>
    <w:next w:val="Normal"/>
    <w:autoRedefine/>
    <w:uiPriority w:val="39"/>
    <w:unhideWhenUsed/>
    <w:rsid w:val="00361A79"/>
    <w:pPr>
      <w:spacing w:line="259" w:lineRule="auto"/>
      <w:ind w:left="1440"/>
    </w:pPr>
    <w:rPr>
      <w:rFonts w:asciiTheme="minorHAnsi" w:hAnsiTheme="minorHAnsi"/>
      <w:sz w:val="20"/>
      <w:szCs w:val="20"/>
    </w:rPr>
  </w:style>
  <w:style w:type="paragraph" w:styleId="TOC8">
    <w:name w:val="toc 8"/>
    <w:basedOn w:val="Normal"/>
    <w:next w:val="Normal"/>
    <w:autoRedefine/>
    <w:uiPriority w:val="39"/>
    <w:unhideWhenUsed/>
    <w:rsid w:val="00361A79"/>
    <w:pPr>
      <w:spacing w:line="259" w:lineRule="auto"/>
      <w:ind w:left="1680"/>
    </w:pPr>
    <w:rPr>
      <w:rFonts w:asciiTheme="minorHAnsi" w:hAnsiTheme="minorHAnsi"/>
      <w:sz w:val="20"/>
      <w:szCs w:val="20"/>
    </w:rPr>
  </w:style>
  <w:style w:type="paragraph" w:styleId="TOC9">
    <w:name w:val="toc 9"/>
    <w:basedOn w:val="Normal"/>
    <w:next w:val="Normal"/>
    <w:autoRedefine/>
    <w:uiPriority w:val="39"/>
    <w:unhideWhenUsed/>
    <w:rsid w:val="00361A79"/>
    <w:pPr>
      <w:spacing w:line="259" w:lineRule="auto"/>
      <w:ind w:left="1920"/>
    </w:pPr>
    <w:rPr>
      <w:rFonts w:asciiTheme="minorHAnsi" w:hAnsiTheme="minorHAnsi"/>
      <w:sz w:val="20"/>
      <w:szCs w:val="20"/>
    </w:rPr>
  </w:style>
  <w:style w:type="table" w:customStyle="1" w:styleId="GridTable4-Accent11">
    <w:name w:val="Grid Table 4 - Accent 11"/>
    <w:basedOn w:val="TableNormal"/>
    <w:uiPriority w:val="49"/>
    <w:rsid w:val="00EB1DB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6B76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
    <w:name w:val="Unresolved Mention1"/>
    <w:basedOn w:val="DefaultParagraphFont"/>
    <w:uiPriority w:val="99"/>
    <w:semiHidden/>
    <w:unhideWhenUsed/>
    <w:rsid w:val="000D4047"/>
    <w:rPr>
      <w:color w:val="808080"/>
      <w:shd w:val="clear" w:color="auto" w:fill="E6E6E6"/>
    </w:rPr>
  </w:style>
  <w:style w:type="paragraph" w:styleId="Revision">
    <w:name w:val="Revision"/>
    <w:hidden/>
    <w:uiPriority w:val="71"/>
    <w:rsid w:val="00340939"/>
    <w:rPr>
      <w:rFonts w:ascii="Times New Roman" w:hAnsi="Times New Roman"/>
      <w:sz w:val="24"/>
      <w:szCs w:val="24"/>
    </w:rPr>
  </w:style>
  <w:style w:type="character" w:styleId="FollowedHyperlink">
    <w:name w:val="FollowedHyperlink"/>
    <w:basedOn w:val="DefaultParagraphFont"/>
    <w:uiPriority w:val="99"/>
    <w:semiHidden/>
    <w:unhideWhenUsed/>
    <w:rsid w:val="005549D1"/>
    <w:rPr>
      <w:color w:val="800080" w:themeColor="followedHyperlink"/>
      <w:u w:val="single"/>
    </w:rPr>
  </w:style>
  <w:style w:type="character" w:customStyle="1" w:styleId="normaltextrun1">
    <w:name w:val="normaltextrun1"/>
    <w:basedOn w:val="DefaultParagraphFont"/>
    <w:rsid w:val="009C5F87"/>
  </w:style>
  <w:style w:type="character" w:customStyle="1" w:styleId="eop">
    <w:name w:val="eop"/>
    <w:basedOn w:val="DefaultParagraphFont"/>
    <w:rsid w:val="009C5F87"/>
  </w:style>
  <w:style w:type="table" w:styleId="PlainTable2">
    <w:name w:val="Plain Table 2"/>
    <w:basedOn w:val="TableNormal"/>
    <w:uiPriority w:val="42"/>
    <w:rsid w:val="00392A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67"/>
    <w:rsid w:val="002363AE"/>
    <w:rPr>
      <w:color w:val="808080"/>
    </w:rPr>
  </w:style>
  <w:style w:type="character" w:styleId="UnresolvedMention">
    <w:name w:val="Unresolved Mention"/>
    <w:basedOn w:val="DefaultParagraphFont"/>
    <w:uiPriority w:val="99"/>
    <w:rsid w:val="008D0D13"/>
    <w:rPr>
      <w:color w:val="605E5C"/>
      <w:shd w:val="clear" w:color="auto" w:fill="E1DFDD"/>
    </w:rPr>
  </w:style>
  <w:style w:type="paragraph" w:customStyle="1" w:styleId="Default">
    <w:name w:val="Default"/>
    <w:rsid w:val="00880C68"/>
    <w:pPr>
      <w:autoSpaceDE w:val="0"/>
      <w:autoSpaceDN w:val="0"/>
      <w:adjustRightInd w:val="0"/>
    </w:pPr>
    <w:rPr>
      <w:rFonts w:eastAsiaTheme="minorHAnsi" w:cs="Calibri"/>
      <w:color w:val="000000"/>
      <w:sz w:val="24"/>
      <w:szCs w:val="24"/>
      <w:lang w:val="pt-BR"/>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rPr>
      <w:sz w:val="20"/>
      <w:szCs w:val="20"/>
    </w:rPr>
  </w:style>
  <w:style w:type="paragraph" w:styleId="EndnoteText">
    <w:name w:val="endnote text"/>
    <w:basedOn w:val="Normal"/>
    <w:link w:val="EndnoteTextChar"/>
    <w:uiPriority w:val="99"/>
    <w:unhideWhenUsed/>
    <w:rPr>
      <w:sz w:val="20"/>
      <w:szCs w:val="20"/>
    </w:rPr>
  </w:style>
  <w:style w:type="table" w:customStyle="1" w:styleId="PlainTable21">
    <w:name w:val="Plain Table 21"/>
    <w:basedOn w:val="TableNormal"/>
    <w:next w:val="PlainTable2"/>
    <w:uiPriority w:val="42"/>
    <w:rsid w:val="006F2DC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502">
      <w:bodyDiv w:val="1"/>
      <w:marLeft w:val="0"/>
      <w:marRight w:val="0"/>
      <w:marTop w:val="0"/>
      <w:marBottom w:val="0"/>
      <w:divBdr>
        <w:top w:val="none" w:sz="0" w:space="0" w:color="auto"/>
        <w:left w:val="none" w:sz="0" w:space="0" w:color="auto"/>
        <w:bottom w:val="none" w:sz="0" w:space="0" w:color="auto"/>
        <w:right w:val="none" w:sz="0" w:space="0" w:color="auto"/>
      </w:divBdr>
    </w:div>
    <w:div w:id="35198955">
      <w:bodyDiv w:val="1"/>
      <w:marLeft w:val="0"/>
      <w:marRight w:val="0"/>
      <w:marTop w:val="0"/>
      <w:marBottom w:val="0"/>
      <w:divBdr>
        <w:top w:val="none" w:sz="0" w:space="0" w:color="auto"/>
        <w:left w:val="none" w:sz="0" w:space="0" w:color="auto"/>
        <w:bottom w:val="none" w:sz="0" w:space="0" w:color="auto"/>
        <w:right w:val="none" w:sz="0" w:space="0" w:color="auto"/>
      </w:divBdr>
    </w:div>
    <w:div w:id="35660604">
      <w:bodyDiv w:val="1"/>
      <w:marLeft w:val="0"/>
      <w:marRight w:val="0"/>
      <w:marTop w:val="0"/>
      <w:marBottom w:val="0"/>
      <w:divBdr>
        <w:top w:val="none" w:sz="0" w:space="0" w:color="auto"/>
        <w:left w:val="none" w:sz="0" w:space="0" w:color="auto"/>
        <w:bottom w:val="none" w:sz="0" w:space="0" w:color="auto"/>
        <w:right w:val="none" w:sz="0" w:space="0" w:color="auto"/>
      </w:divBdr>
    </w:div>
    <w:div w:id="36466290">
      <w:bodyDiv w:val="1"/>
      <w:marLeft w:val="0"/>
      <w:marRight w:val="0"/>
      <w:marTop w:val="0"/>
      <w:marBottom w:val="0"/>
      <w:divBdr>
        <w:top w:val="none" w:sz="0" w:space="0" w:color="auto"/>
        <w:left w:val="none" w:sz="0" w:space="0" w:color="auto"/>
        <w:bottom w:val="none" w:sz="0" w:space="0" w:color="auto"/>
        <w:right w:val="none" w:sz="0" w:space="0" w:color="auto"/>
      </w:divBdr>
    </w:div>
    <w:div w:id="37632767">
      <w:bodyDiv w:val="1"/>
      <w:marLeft w:val="0"/>
      <w:marRight w:val="0"/>
      <w:marTop w:val="0"/>
      <w:marBottom w:val="0"/>
      <w:divBdr>
        <w:top w:val="none" w:sz="0" w:space="0" w:color="auto"/>
        <w:left w:val="none" w:sz="0" w:space="0" w:color="auto"/>
        <w:bottom w:val="none" w:sz="0" w:space="0" w:color="auto"/>
        <w:right w:val="none" w:sz="0" w:space="0" w:color="auto"/>
      </w:divBdr>
    </w:div>
    <w:div w:id="41369044">
      <w:bodyDiv w:val="1"/>
      <w:marLeft w:val="0"/>
      <w:marRight w:val="0"/>
      <w:marTop w:val="0"/>
      <w:marBottom w:val="0"/>
      <w:divBdr>
        <w:top w:val="none" w:sz="0" w:space="0" w:color="auto"/>
        <w:left w:val="none" w:sz="0" w:space="0" w:color="auto"/>
        <w:bottom w:val="none" w:sz="0" w:space="0" w:color="auto"/>
        <w:right w:val="none" w:sz="0" w:space="0" w:color="auto"/>
      </w:divBdr>
    </w:div>
    <w:div w:id="52853586">
      <w:bodyDiv w:val="1"/>
      <w:marLeft w:val="0"/>
      <w:marRight w:val="0"/>
      <w:marTop w:val="0"/>
      <w:marBottom w:val="0"/>
      <w:divBdr>
        <w:top w:val="none" w:sz="0" w:space="0" w:color="auto"/>
        <w:left w:val="none" w:sz="0" w:space="0" w:color="auto"/>
        <w:bottom w:val="none" w:sz="0" w:space="0" w:color="auto"/>
        <w:right w:val="none" w:sz="0" w:space="0" w:color="auto"/>
      </w:divBdr>
    </w:div>
    <w:div w:id="56783225">
      <w:bodyDiv w:val="1"/>
      <w:marLeft w:val="0"/>
      <w:marRight w:val="0"/>
      <w:marTop w:val="0"/>
      <w:marBottom w:val="0"/>
      <w:divBdr>
        <w:top w:val="none" w:sz="0" w:space="0" w:color="auto"/>
        <w:left w:val="none" w:sz="0" w:space="0" w:color="auto"/>
        <w:bottom w:val="none" w:sz="0" w:space="0" w:color="auto"/>
        <w:right w:val="none" w:sz="0" w:space="0" w:color="auto"/>
      </w:divBdr>
    </w:div>
    <w:div w:id="60564821">
      <w:bodyDiv w:val="1"/>
      <w:marLeft w:val="0"/>
      <w:marRight w:val="0"/>
      <w:marTop w:val="0"/>
      <w:marBottom w:val="0"/>
      <w:divBdr>
        <w:top w:val="none" w:sz="0" w:space="0" w:color="auto"/>
        <w:left w:val="none" w:sz="0" w:space="0" w:color="auto"/>
        <w:bottom w:val="none" w:sz="0" w:space="0" w:color="auto"/>
        <w:right w:val="none" w:sz="0" w:space="0" w:color="auto"/>
      </w:divBdr>
    </w:div>
    <w:div w:id="70200334">
      <w:bodyDiv w:val="1"/>
      <w:marLeft w:val="0"/>
      <w:marRight w:val="0"/>
      <w:marTop w:val="0"/>
      <w:marBottom w:val="0"/>
      <w:divBdr>
        <w:top w:val="none" w:sz="0" w:space="0" w:color="auto"/>
        <w:left w:val="none" w:sz="0" w:space="0" w:color="auto"/>
        <w:bottom w:val="none" w:sz="0" w:space="0" w:color="auto"/>
        <w:right w:val="none" w:sz="0" w:space="0" w:color="auto"/>
      </w:divBdr>
    </w:div>
    <w:div w:id="93867661">
      <w:bodyDiv w:val="1"/>
      <w:marLeft w:val="0"/>
      <w:marRight w:val="0"/>
      <w:marTop w:val="0"/>
      <w:marBottom w:val="0"/>
      <w:divBdr>
        <w:top w:val="none" w:sz="0" w:space="0" w:color="auto"/>
        <w:left w:val="none" w:sz="0" w:space="0" w:color="auto"/>
        <w:bottom w:val="none" w:sz="0" w:space="0" w:color="auto"/>
        <w:right w:val="none" w:sz="0" w:space="0" w:color="auto"/>
      </w:divBdr>
    </w:div>
    <w:div w:id="99841945">
      <w:bodyDiv w:val="1"/>
      <w:marLeft w:val="0"/>
      <w:marRight w:val="0"/>
      <w:marTop w:val="0"/>
      <w:marBottom w:val="0"/>
      <w:divBdr>
        <w:top w:val="none" w:sz="0" w:space="0" w:color="auto"/>
        <w:left w:val="none" w:sz="0" w:space="0" w:color="auto"/>
        <w:bottom w:val="none" w:sz="0" w:space="0" w:color="auto"/>
        <w:right w:val="none" w:sz="0" w:space="0" w:color="auto"/>
      </w:divBdr>
    </w:div>
    <w:div w:id="115831716">
      <w:bodyDiv w:val="1"/>
      <w:marLeft w:val="0"/>
      <w:marRight w:val="0"/>
      <w:marTop w:val="0"/>
      <w:marBottom w:val="0"/>
      <w:divBdr>
        <w:top w:val="none" w:sz="0" w:space="0" w:color="auto"/>
        <w:left w:val="none" w:sz="0" w:space="0" w:color="auto"/>
        <w:bottom w:val="none" w:sz="0" w:space="0" w:color="auto"/>
        <w:right w:val="none" w:sz="0" w:space="0" w:color="auto"/>
      </w:divBdr>
    </w:div>
    <w:div w:id="125046895">
      <w:bodyDiv w:val="1"/>
      <w:marLeft w:val="0"/>
      <w:marRight w:val="0"/>
      <w:marTop w:val="0"/>
      <w:marBottom w:val="0"/>
      <w:divBdr>
        <w:top w:val="none" w:sz="0" w:space="0" w:color="auto"/>
        <w:left w:val="none" w:sz="0" w:space="0" w:color="auto"/>
        <w:bottom w:val="none" w:sz="0" w:space="0" w:color="auto"/>
        <w:right w:val="none" w:sz="0" w:space="0" w:color="auto"/>
      </w:divBdr>
    </w:div>
    <w:div w:id="132404785">
      <w:bodyDiv w:val="1"/>
      <w:marLeft w:val="0"/>
      <w:marRight w:val="0"/>
      <w:marTop w:val="0"/>
      <w:marBottom w:val="0"/>
      <w:divBdr>
        <w:top w:val="none" w:sz="0" w:space="0" w:color="auto"/>
        <w:left w:val="none" w:sz="0" w:space="0" w:color="auto"/>
        <w:bottom w:val="none" w:sz="0" w:space="0" w:color="auto"/>
        <w:right w:val="none" w:sz="0" w:space="0" w:color="auto"/>
      </w:divBdr>
    </w:div>
    <w:div w:id="136800121">
      <w:bodyDiv w:val="1"/>
      <w:marLeft w:val="0"/>
      <w:marRight w:val="0"/>
      <w:marTop w:val="0"/>
      <w:marBottom w:val="0"/>
      <w:divBdr>
        <w:top w:val="none" w:sz="0" w:space="0" w:color="auto"/>
        <w:left w:val="none" w:sz="0" w:space="0" w:color="auto"/>
        <w:bottom w:val="none" w:sz="0" w:space="0" w:color="auto"/>
        <w:right w:val="none" w:sz="0" w:space="0" w:color="auto"/>
      </w:divBdr>
    </w:div>
    <w:div w:id="141697338">
      <w:bodyDiv w:val="1"/>
      <w:marLeft w:val="0"/>
      <w:marRight w:val="0"/>
      <w:marTop w:val="0"/>
      <w:marBottom w:val="0"/>
      <w:divBdr>
        <w:top w:val="none" w:sz="0" w:space="0" w:color="auto"/>
        <w:left w:val="none" w:sz="0" w:space="0" w:color="auto"/>
        <w:bottom w:val="none" w:sz="0" w:space="0" w:color="auto"/>
        <w:right w:val="none" w:sz="0" w:space="0" w:color="auto"/>
      </w:divBdr>
    </w:div>
    <w:div w:id="157036756">
      <w:bodyDiv w:val="1"/>
      <w:marLeft w:val="0"/>
      <w:marRight w:val="0"/>
      <w:marTop w:val="0"/>
      <w:marBottom w:val="0"/>
      <w:divBdr>
        <w:top w:val="none" w:sz="0" w:space="0" w:color="auto"/>
        <w:left w:val="none" w:sz="0" w:space="0" w:color="auto"/>
        <w:bottom w:val="none" w:sz="0" w:space="0" w:color="auto"/>
        <w:right w:val="none" w:sz="0" w:space="0" w:color="auto"/>
      </w:divBdr>
    </w:div>
    <w:div w:id="158933042">
      <w:bodyDiv w:val="1"/>
      <w:marLeft w:val="0"/>
      <w:marRight w:val="0"/>
      <w:marTop w:val="0"/>
      <w:marBottom w:val="0"/>
      <w:divBdr>
        <w:top w:val="none" w:sz="0" w:space="0" w:color="auto"/>
        <w:left w:val="none" w:sz="0" w:space="0" w:color="auto"/>
        <w:bottom w:val="none" w:sz="0" w:space="0" w:color="auto"/>
        <w:right w:val="none" w:sz="0" w:space="0" w:color="auto"/>
      </w:divBdr>
    </w:div>
    <w:div w:id="161437339">
      <w:bodyDiv w:val="1"/>
      <w:marLeft w:val="0"/>
      <w:marRight w:val="0"/>
      <w:marTop w:val="0"/>
      <w:marBottom w:val="0"/>
      <w:divBdr>
        <w:top w:val="none" w:sz="0" w:space="0" w:color="auto"/>
        <w:left w:val="none" w:sz="0" w:space="0" w:color="auto"/>
        <w:bottom w:val="none" w:sz="0" w:space="0" w:color="auto"/>
        <w:right w:val="none" w:sz="0" w:space="0" w:color="auto"/>
      </w:divBdr>
    </w:div>
    <w:div w:id="172648076">
      <w:bodyDiv w:val="1"/>
      <w:marLeft w:val="0"/>
      <w:marRight w:val="0"/>
      <w:marTop w:val="0"/>
      <w:marBottom w:val="0"/>
      <w:divBdr>
        <w:top w:val="none" w:sz="0" w:space="0" w:color="auto"/>
        <w:left w:val="none" w:sz="0" w:space="0" w:color="auto"/>
        <w:bottom w:val="none" w:sz="0" w:space="0" w:color="auto"/>
        <w:right w:val="none" w:sz="0" w:space="0" w:color="auto"/>
      </w:divBdr>
    </w:div>
    <w:div w:id="174152632">
      <w:bodyDiv w:val="1"/>
      <w:marLeft w:val="0"/>
      <w:marRight w:val="0"/>
      <w:marTop w:val="0"/>
      <w:marBottom w:val="0"/>
      <w:divBdr>
        <w:top w:val="none" w:sz="0" w:space="0" w:color="auto"/>
        <w:left w:val="none" w:sz="0" w:space="0" w:color="auto"/>
        <w:bottom w:val="none" w:sz="0" w:space="0" w:color="auto"/>
        <w:right w:val="none" w:sz="0" w:space="0" w:color="auto"/>
      </w:divBdr>
    </w:div>
    <w:div w:id="181674546">
      <w:bodyDiv w:val="1"/>
      <w:marLeft w:val="0"/>
      <w:marRight w:val="0"/>
      <w:marTop w:val="0"/>
      <w:marBottom w:val="0"/>
      <w:divBdr>
        <w:top w:val="none" w:sz="0" w:space="0" w:color="auto"/>
        <w:left w:val="none" w:sz="0" w:space="0" w:color="auto"/>
        <w:bottom w:val="none" w:sz="0" w:space="0" w:color="auto"/>
        <w:right w:val="none" w:sz="0" w:space="0" w:color="auto"/>
      </w:divBdr>
    </w:div>
    <w:div w:id="181938657">
      <w:bodyDiv w:val="1"/>
      <w:marLeft w:val="0"/>
      <w:marRight w:val="0"/>
      <w:marTop w:val="0"/>
      <w:marBottom w:val="0"/>
      <w:divBdr>
        <w:top w:val="none" w:sz="0" w:space="0" w:color="auto"/>
        <w:left w:val="none" w:sz="0" w:space="0" w:color="auto"/>
        <w:bottom w:val="none" w:sz="0" w:space="0" w:color="auto"/>
        <w:right w:val="none" w:sz="0" w:space="0" w:color="auto"/>
      </w:divBdr>
    </w:div>
    <w:div w:id="190918109">
      <w:bodyDiv w:val="1"/>
      <w:marLeft w:val="0"/>
      <w:marRight w:val="0"/>
      <w:marTop w:val="0"/>
      <w:marBottom w:val="0"/>
      <w:divBdr>
        <w:top w:val="none" w:sz="0" w:space="0" w:color="auto"/>
        <w:left w:val="none" w:sz="0" w:space="0" w:color="auto"/>
        <w:bottom w:val="none" w:sz="0" w:space="0" w:color="auto"/>
        <w:right w:val="none" w:sz="0" w:space="0" w:color="auto"/>
      </w:divBdr>
    </w:div>
    <w:div w:id="194391255">
      <w:bodyDiv w:val="1"/>
      <w:marLeft w:val="0"/>
      <w:marRight w:val="0"/>
      <w:marTop w:val="0"/>
      <w:marBottom w:val="0"/>
      <w:divBdr>
        <w:top w:val="none" w:sz="0" w:space="0" w:color="auto"/>
        <w:left w:val="none" w:sz="0" w:space="0" w:color="auto"/>
        <w:bottom w:val="none" w:sz="0" w:space="0" w:color="auto"/>
        <w:right w:val="none" w:sz="0" w:space="0" w:color="auto"/>
      </w:divBdr>
    </w:div>
    <w:div w:id="195167076">
      <w:bodyDiv w:val="1"/>
      <w:marLeft w:val="0"/>
      <w:marRight w:val="0"/>
      <w:marTop w:val="0"/>
      <w:marBottom w:val="0"/>
      <w:divBdr>
        <w:top w:val="none" w:sz="0" w:space="0" w:color="auto"/>
        <w:left w:val="none" w:sz="0" w:space="0" w:color="auto"/>
        <w:bottom w:val="none" w:sz="0" w:space="0" w:color="auto"/>
        <w:right w:val="none" w:sz="0" w:space="0" w:color="auto"/>
      </w:divBdr>
    </w:div>
    <w:div w:id="199246822">
      <w:bodyDiv w:val="1"/>
      <w:marLeft w:val="0"/>
      <w:marRight w:val="0"/>
      <w:marTop w:val="0"/>
      <w:marBottom w:val="0"/>
      <w:divBdr>
        <w:top w:val="none" w:sz="0" w:space="0" w:color="auto"/>
        <w:left w:val="none" w:sz="0" w:space="0" w:color="auto"/>
        <w:bottom w:val="none" w:sz="0" w:space="0" w:color="auto"/>
        <w:right w:val="none" w:sz="0" w:space="0" w:color="auto"/>
      </w:divBdr>
    </w:div>
    <w:div w:id="204487249">
      <w:bodyDiv w:val="1"/>
      <w:marLeft w:val="0"/>
      <w:marRight w:val="0"/>
      <w:marTop w:val="0"/>
      <w:marBottom w:val="0"/>
      <w:divBdr>
        <w:top w:val="none" w:sz="0" w:space="0" w:color="auto"/>
        <w:left w:val="none" w:sz="0" w:space="0" w:color="auto"/>
        <w:bottom w:val="none" w:sz="0" w:space="0" w:color="auto"/>
        <w:right w:val="none" w:sz="0" w:space="0" w:color="auto"/>
      </w:divBdr>
    </w:div>
    <w:div w:id="206531001">
      <w:bodyDiv w:val="1"/>
      <w:marLeft w:val="0"/>
      <w:marRight w:val="0"/>
      <w:marTop w:val="0"/>
      <w:marBottom w:val="0"/>
      <w:divBdr>
        <w:top w:val="none" w:sz="0" w:space="0" w:color="auto"/>
        <w:left w:val="none" w:sz="0" w:space="0" w:color="auto"/>
        <w:bottom w:val="none" w:sz="0" w:space="0" w:color="auto"/>
        <w:right w:val="none" w:sz="0" w:space="0" w:color="auto"/>
      </w:divBdr>
    </w:div>
    <w:div w:id="215626978">
      <w:bodyDiv w:val="1"/>
      <w:marLeft w:val="0"/>
      <w:marRight w:val="0"/>
      <w:marTop w:val="0"/>
      <w:marBottom w:val="0"/>
      <w:divBdr>
        <w:top w:val="none" w:sz="0" w:space="0" w:color="auto"/>
        <w:left w:val="none" w:sz="0" w:space="0" w:color="auto"/>
        <w:bottom w:val="none" w:sz="0" w:space="0" w:color="auto"/>
        <w:right w:val="none" w:sz="0" w:space="0" w:color="auto"/>
      </w:divBdr>
    </w:div>
    <w:div w:id="228226536">
      <w:bodyDiv w:val="1"/>
      <w:marLeft w:val="0"/>
      <w:marRight w:val="0"/>
      <w:marTop w:val="0"/>
      <w:marBottom w:val="0"/>
      <w:divBdr>
        <w:top w:val="none" w:sz="0" w:space="0" w:color="auto"/>
        <w:left w:val="none" w:sz="0" w:space="0" w:color="auto"/>
        <w:bottom w:val="none" w:sz="0" w:space="0" w:color="auto"/>
        <w:right w:val="none" w:sz="0" w:space="0" w:color="auto"/>
      </w:divBdr>
    </w:div>
    <w:div w:id="230429514">
      <w:bodyDiv w:val="1"/>
      <w:marLeft w:val="0"/>
      <w:marRight w:val="0"/>
      <w:marTop w:val="0"/>
      <w:marBottom w:val="0"/>
      <w:divBdr>
        <w:top w:val="none" w:sz="0" w:space="0" w:color="auto"/>
        <w:left w:val="none" w:sz="0" w:space="0" w:color="auto"/>
        <w:bottom w:val="none" w:sz="0" w:space="0" w:color="auto"/>
        <w:right w:val="none" w:sz="0" w:space="0" w:color="auto"/>
      </w:divBdr>
    </w:div>
    <w:div w:id="242643014">
      <w:bodyDiv w:val="1"/>
      <w:marLeft w:val="0"/>
      <w:marRight w:val="0"/>
      <w:marTop w:val="0"/>
      <w:marBottom w:val="0"/>
      <w:divBdr>
        <w:top w:val="none" w:sz="0" w:space="0" w:color="auto"/>
        <w:left w:val="none" w:sz="0" w:space="0" w:color="auto"/>
        <w:bottom w:val="none" w:sz="0" w:space="0" w:color="auto"/>
        <w:right w:val="none" w:sz="0" w:space="0" w:color="auto"/>
      </w:divBdr>
    </w:div>
    <w:div w:id="259262223">
      <w:bodyDiv w:val="1"/>
      <w:marLeft w:val="0"/>
      <w:marRight w:val="0"/>
      <w:marTop w:val="0"/>
      <w:marBottom w:val="0"/>
      <w:divBdr>
        <w:top w:val="none" w:sz="0" w:space="0" w:color="auto"/>
        <w:left w:val="none" w:sz="0" w:space="0" w:color="auto"/>
        <w:bottom w:val="none" w:sz="0" w:space="0" w:color="auto"/>
        <w:right w:val="none" w:sz="0" w:space="0" w:color="auto"/>
      </w:divBdr>
    </w:div>
    <w:div w:id="262694012">
      <w:bodyDiv w:val="1"/>
      <w:marLeft w:val="0"/>
      <w:marRight w:val="0"/>
      <w:marTop w:val="0"/>
      <w:marBottom w:val="0"/>
      <w:divBdr>
        <w:top w:val="none" w:sz="0" w:space="0" w:color="auto"/>
        <w:left w:val="none" w:sz="0" w:space="0" w:color="auto"/>
        <w:bottom w:val="none" w:sz="0" w:space="0" w:color="auto"/>
        <w:right w:val="none" w:sz="0" w:space="0" w:color="auto"/>
      </w:divBdr>
    </w:div>
    <w:div w:id="267660775">
      <w:bodyDiv w:val="1"/>
      <w:marLeft w:val="0"/>
      <w:marRight w:val="0"/>
      <w:marTop w:val="0"/>
      <w:marBottom w:val="0"/>
      <w:divBdr>
        <w:top w:val="none" w:sz="0" w:space="0" w:color="auto"/>
        <w:left w:val="none" w:sz="0" w:space="0" w:color="auto"/>
        <w:bottom w:val="none" w:sz="0" w:space="0" w:color="auto"/>
        <w:right w:val="none" w:sz="0" w:space="0" w:color="auto"/>
      </w:divBdr>
    </w:div>
    <w:div w:id="282420957">
      <w:bodyDiv w:val="1"/>
      <w:marLeft w:val="0"/>
      <w:marRight w:val="0"/>
      <w:marTop w:val="0"/>
      <w:marBottom w:val="0"/>
      <w:divBdr>
        <w:top w:val="none" w:sz="0" w:space="0" w:color="auto"/>
        <w:left w:val="none" w:sz="0" w:space="0" w:color="auto"/>
        <w:bottom w:val="none" w:sz="0" w:space="0" w:color="auto"/>
        <w:right w:val="none" w:sz="0" w:space="0" w:color="auto"/>
      </w:divBdr>
    </w:div>
    <w:div w:id="282812962">
      <w:bodyDiv w:val="1"/>
      <w:marLeft w:val="0"/>
      <w:marRight w:val="0"/>
      <w:marTop w:val="0"/>
      <w:marBottom w:val="0"/>
      <w:divBdr>
        <w:top w:val="none" w:sz="0" w:space="0" w:color="auto"/>
        <w:left w:val="none" w:sz="0" w:space="0" w:color="auto"/>
        <w:bottom w:val="none" w:sz="0" w:space="0" w:color="auto"/>
        <w:right w:val="none" w:sz="0" w:space="0" w:color="auto"/>
      </w:divBdr>
    </w:div>
    <w:div w:id="284043556">
      <w:bodyDiv w:val="1"/>
      <w:marLeft w:val="0"/>
      <w:marRight w:val="0"/>
      <w:marTop w:val="0"/>
      <w:marBottom w:val="0"/>
      <w:divBdr>
        <w:top w:val="none" w:sz="0" w:space="0" w:color="auto"/>
        <w:left w:val="none" w:sz="0" w:space="0" w:color="auto"/>
        <w:bottom w:val="none" w:sz="0" w:space="0" w:color="auto"/>
        <w:right w:val="none" w:sz="0" w:space="0" w:color="auto"/>
      </w:divBdr>
    </w:div>
    <w:div w:id="287276087">
      <w:bodyDiv w:val="1"/>
      <w:marLeft w:val="0"/>
      <w:marRight w:val="0"/>
      <w:marTop w:val="0"/>
      <w:marBottom w:val="0"/>
      <w:divBdr>
        <w:top w:val="none" w:sz="0" w:space="0" w:color="auto"/>
        <w:left w:val="none" w:sz="0" w:space="0" w:color="auto"/>
        <w:bottom w:val="none" w:sz="0" w:space="0" w:color="auto"/>
        <w:right w:val="none" w:sz="0" w:space="0" w:color="auto"/>
      </w:divBdr>
    </w:div>
    <w:div w:id="323703582">
      <w:bodyDiv w:val="1"/>
      <w:marLeft w:val="0"/>
      <w:marRight w:val="0"/>
      <w:marTop w:val="0"/>
      <w:marBottom w:val="0"/>
      <w:divBdr>
        <w:top w:val="none" w:sz="0" w:space="0" w:color="auto"/>
        <w:left w:val="none" w:sz="0" w:space="0" w:color="auto"/>
        <w:bottom w:val="none" w:sz="0" w:space="0" w:color="auto"/>
        <w:right w:val="none" w:sz="0" w:space="0" w:color="auto"/>
      </w:divBdr>
    </w:div>
    <w:div w:id="329067528">
      <w:bodyDiv w:val="1"/>
      <w:marLeft w:val="0"/>
      <w:marRight w:val="0"/>
      <w:marTop w:val="0"/>
      <w:marBottom w:val="0"/>
      <w:divBdr>
        <w:top w:val="none" w:sz="0" w:space="0" w:color="auto"/>
        <w:left w:val="none" w:sz="0" w:space="0" w:color="auto"/>
        <w:bottom w:val="none" w:sz="0" w:space="0" w:color="auto"/>
        <w:right w:val="none" w:sz="0" w:space="0" w:color="auto"/>
      </w:divBdr>
    </w:div>
    <w:div w:id="372536542">
      <w:bodyDiv w:val="1"/>
      <w:marLeft w:val="0"/>
      <w:marRight w:val="0"/>
      <w:marTop w:val="0"/>
      <w:marBottom w:val="0"/>
      <w:divBdr>
        <w:top w:val="none" w:sz="0" w:space="0" w:color="auto"/>
        <w:left w:val="none" w:sz="0" w:space="0" w:color="auto"/>
        <w:bottom w:val="none" w:sz="0" w:space="0" w:color="auto"/>
        <w:right w:val="none" w:sz="0" w:space="0" w:color="auto"/>
      </w:divBdr>
    </w:div>
    <w:div w:id="382485049">
      <w:bodyDiv w:val="1"/>
      <w:marLeft w:val="0"/>
      <w:marRight w:val="0"/>
      <w:marTop w:val="0"/>
      <w:marBottom w:val="0"/>
      <w:divBdr>
        <w:top w:val="none" w:sz="0" w:space="0" w:color="auto"/>
        <w:left w:val="none" w:sz="0" w:space="0" w:color="auto"/>
        <w:bottom w:val="none" w:sz="0" w:space="0" w:color="auto"/>
        <w:right w:val="none" w:sz="0" w:space="0" w:color="auto"/>
      </w:divBdr>
    </w:div>
    <w:div w:id="399056804">
      <w:bodyDiv w:val="1"/>
      <w:marLeft w:val="0"/>
      <w:marRight w:val="0"/>
      <w:marTop w:val="0"/>
      <w:marBottom w:val="0"/>
      <w:divBdr>
        <w:top w:val="none" w:sz="0" w:space="0" w:color="auto"/>
        <w:left w:val="none" w:sz="0" w:space="0" w:color="auto"/>
        <w:bottom w:val="none" w:sz="0" w:space="0" w:color="auto"/>
        <w:right w:val="none" w:sz="0" w:space="0" w:color="auto"/>
      </w:divBdr>
      <w:divsChild>
        <w:div w:id="766852061">
          <w:marLeft w:val="360"/>
          <w:marRight w:val="0"/>
          <w:marTop w:val="200"/>
          <w:marBottom w:val="0"/>
          <w:divBdr>
            <w:top w:val="none" w:sz="0" w:space="0" w:color="auto"/>
            <w:left w:val="none" w:sz="0" w:space="0" w:color="auto"/>
            <w:bottom w:val="none" w:sz="0" w:space="0" w:color="auto"/>
            <w:right w:val="none" w:sz="0" w:space="0" w:color="auto"/>
          </w:divBdr>
        </w:div>
      </w:divsChild>
    </w:div>
    <w:div w:id="414474786">
      <w:bodyDiv w:val="1"/>
      <w:marLeft w:val="0"/>
      <w:marRight w:val="0"/>
      <w:marTop w:val="0"/>
      <w:marBottom w:val="0"/>
      <w:divBdr>
        <w:top w:val="none" w:sz="0" w:space="0" w:color="auto"/>
        <w:left w:val="none" w:sz="0" w:space="0" w:color="auto"/>
        <w:bottom w:val="none" w:sz="0" w:space="0" w:color="auto"/>
        <w:right w:val="none" w:sz="0" w:space="0" w:color="auto"/>
      </w:divBdr>
    </w:div>
    <w:div w:id="431243259">
      <w:bodyDiv w:val="1"/>
      <w:marLeft w:val="0"/>
      <w:marRight w:val="0"/>
      <w:marTop w:val="0"/>
      <w:marBottom w:val="0"/>
      <w:divBdr>
        <w:top w:val="none" w:sz="0" w:space="0" w:color="auto"/>
        <w:left w:val="none" w:sz="0" w:space="0" w:color="auto"/>
        <w:bottom w:val="none" w:sz="0" w:space="0" w:color="auto"/>
        <w:right w:val="none" w:sz="0" w:space="0" w:color="auto"/>
      </w:divBdr>
    </w:div>
    <w:div w:id="453869340">
      <w:bodyDiv w:val="1"/>
      <w:marLeft w:val="0"/>
      <w:marRight w:val="0"/>
      <w:marTop w:val="0"/>
      <w:marBottom w:val="0"/>
      <w:divBdr>
        <w:top w:val="none" w:sz="0" w:space="0" w:color="auto"/>
        <w:left w:val="none" w:sz="0" w:space="0" w:color="auto"/>
        <w:bottom w:val="none" w:sz="0" w:space="0" w:color="auto"/>
        <w:right w:val="none" w:sz="0" w:space="0" w:color="auto"/>
      </w:divBdr>
    </w:div>
    <w:div w:id="457575287">
      <w:bodyDiv w:val="1"/>
      <w:marLeft w:val="0"/>
      <w:marRight w:val="0"/>
      <w:marTop w:val="0"/>
      <w:marBottom w:val="0"/>
      <w:divBdr>
        <w:top w:val="none" w:sz="0" w:space="0" w:color="auto"/>
        <w:left w:val="none" w:sz="0" w:space="0" w:color="auto"/>
        <w:bottom w:val="none" w:sz="0" w:space="0" w:color="auto"/>
        <w:right w:val="none" w:sz="0" w:space="0" w:color="auto"/>
      </w:divBdr>
    </w:div>
    <w:div w:id="462697838">
      <w:bodyDiv w:val="1"/>
      <w:marLeft w:val="0"/>
      <w:marRight w:val="0"/>
      <w:marTop w:val="0"/>
      <w:marBottom w:val="0"/>
      <w:divBdr>
        <w:top w:val="none" w:sz="0" w:space="0" w:color="auto"/>
        <w:left w:val="none" w:sz="0" w:space="0" w:color="auto"/>
        <w:bottom w:val="none" w:sz="0" w:space="0" w:color="auto"/>
        <w:right w:val="none" w:sz="0" w:space="0" w:color="auto"/>
      </w:divBdr>
    </w:div>
    <w:div w:id="463426907">
      <w:bodyDiv w:val="1"/>
      <w:marLeft w:val="0"/>
      <w:marRight w:val="0"/>
      <w:marTop w:val="0"/>
      <w:marBottom w:val="0"/>
      <w:divBdr>
        <w:top w:val="none" w:sz="0" w:space="0" w:color="auto"/>
        <w:left w:val="none" w:sz="0" w:space="0" w:color="auto"/>
        <w:bottom w:val="none" w:sz="0" w:space="0" w:color="auto"/>
        <w:right w:val="none" w:sz="0" w:space="0" w:color="auto"/>
      </w:divBdr>
    </w:div>
    <w:div w:id="466748450">
      <w:bodyDiv w:val="1"/>
      <w:marLeft w:val="0"/>
      <w:marRight w:val="0"/>
      <w:marTop w:val="0"/>
      <w:marBottom w:val="0"/>
      <w:divBdr>
        <w:top w:val="none" w:sz="0" w:space="0" w:color="auto"/>
        <w:left w:val="none" w:sz="0" w:space="0" w:color="auto"/>
        <w:bottom w:val="none" w:sz="0" w:space="0" w:color="auto"/>
        <w:right w:val="none" w:sz="0" w:space="0" w:color="auto"/>
      </w:divBdr>
    </w:div>
    <w:div w:id="492189229">
      <w:bodyDiv w:val="1"/>
      <w:marLeft w:val="0"/>
      <w:marRight w:val="0"/>
      <w:marTop w:val="0"/>
      <w:marBottom w:val="0"/>
      <w:divBdr>
        <w:top w:val="none" w:sz="0" w:space="0" w:color="auto"/>
        <w:left w:val="none" w:sz="0" w:space="0" w:color="auto"/>
        <w:bottom w:val="none" w:sz="0" w:space="0" w:color="auto"/>
        <w:right w:val="none" w:sz="0" w:space="0" w:color="auto"/>
      </w:divBdr>
    </w:div>
    <w:div w:id="500512018">
      <w:bodyDiv w:val="1"/>
      <w:marLeft w:val="0"/>
      <w:marRight w:val="0"/>
      <w:marTop w:val="0"/>
      <w:marBottom w:val="0"/>
      <w:divBdr>
        <w:top w:val="none" w:sz="0" w:space="0" w:color="auto"/>
        <w:left w:val="none" w:sz="0" w:space="0" w:color="auto"/>
        <w:bottom w:val="none" w:sz="0" w:space="0" w:color="auto"/>
        <w:right w:val="none" w:sz="0" w:space="0" w:color="auto"/>
      </w:divBdr>
    </w:div>
    <w:div w:id="500968542">
      <w:bodyDiv w:val="1"/>
      <w:marLeft w:val="0"/>
      <w:marRight w:val="0"/>
      <w:marTop w:val="0"/>
      <w:marBottom w:val="0"/>
      <w:divBdr>
        <w:top w:val="none" w:sz="0" w:space="0" w:color="auto"/>
        <w:left w:val="none" w:sz="0" w:space="0" w:color="auto"/>
        <w:bottom w:val="none" w:sz="0" w:space="0" w:color="auto"/>
        <w:right w:val="none" w:sz="0" w:space="0" w:color="auto"/>
      </w:divBdr>
    </w:div>
    <w:div w:id="516697720">
      <w:bodyDiv w:val="1"/>
      <w:marLeft w:val="0"/>
      <w:marRight w:val="0"/>
      <w:marTop w:val="0"/>
      <w:marBottom w:val="0"/>
      <w:divBdr>
        <w:top w:val="none" w:sz="0" w:space="0" w:color="auto"/>
        <w:left w:val="none" w:sz="0" w:space="0" w:color="auto"/>
        <w:bottom w:val="none" w:sz="0" w:space="0" w:color="auto"/>
        <w:right w:val="none" w:sz="0" w:space="0" w:color="auto"/>
      </w:divBdr>
    </w:div>
    <w:div w:id="536478839">
      <w:bodyDiv w:val="1"/>
      <w:marLeft w:val="0"/>
      <w:marRight w:val="0"/>
      <w:marTop w:val="0"/>
      <w:marBottom w:val="0"/>
      <w:divBdr>
        <w:top w:val="none" w:sz="0" w:space="0" w:color="auto"/>
        <w:left w:val="none" w:sz="0" w:space="0" w:color="auto"/>
        <w:bottom w:val="none" w:sz="0" w:space="0" w:color="auto"/>
        <w:right w:val="none" w:sz="0" w:space="0" w:color="auto"/>
      </w:divBdr>
    </w:div>
    <w:div w:id="547571365">
      <w:bodyDiv w:val="1"/>
      <w:marLeft w:val="0"/>
      <w:marRight w:val="0"/>
      <w:marTop w:val="0"/>
      <w:marBottom w:val="0"/>
      <w:divBdr>
        <w:top w:val="none" w:sz="0" w:space="0" w:color="auto"/>
        <w:left w:val="none" w:sz="0" w:space="0" w:color="auto"/>
        <w:bottom w:val="none" w:sz="0" w:space="0" w:color="auto"/>
        <w:right w:val="none" w:sz="0" w:space="0" w:color="auto"/>
      </w:divBdr>
    </w:div>
    <w:div w:id="555243584">
      <w:bodyDiv w:val="1"/>
      <w:marLeft w:val="0"/>
      <w:marRight w:val="0"/>
      <w:marTop w:val="0"/>
      <w:marBottom w:val="0"/>
      <w:divBdr>
        <w:top w:val="none" w:sz="0" w:space="0" w:color="auto"/>
        <w:left w:val="none" w:sz="0" w:space="0" w:color="auto"/>
        <w:bottom w:val="none" w:sz="0" w:space="0" w:color="auto"/>
        <w:right w:val="none" w:sz="0" w:space="0" w:color="auto"/>
      </w:divBdr>
    </w:div>
    <w:div w:id="557978204">
      <w:bodyDiv w:val="1"/>
      <w:marLeft w:val="0"/>
      <w:marRight w:val="0"/>
      <w:marTop w:val="0"/>
      <w:marBottom w:val="0"/>
      <w:divBdr>
        <w:top w:val="none" w:sz="0" w:space="0" w:color="auto"/>
        <w:left w:val="none" w:sz="0" w:space="0" w:color="auto"/>
        <w:bottom w:val="none" w:sz="0" w:space="0" w:color="auto"/>
        <w:right w:val="none" w:sz="0" w:space="0" w:color="auto"/>
      </w:divBdr>
    </w:div>
    <w:div w:id="565070605">
      <w:bodyDiv w:val="1"/>
      <w:marLeft w:val="0"/>
      <w:marRight w:val="0"/>
      <w:marTop w:val="0"/>
      <w:marBottom w:val="0"/>
      <w:divBdr>
        <w:top w:val="none" w:sz="0" w:space="0" w:color="auto"/>
        <w:left w:val="none" w:sz="0" w:space="0" w:color="auto"/>
        <w:bottom w:val="none" w:sz="0" w:space="0" w:color="auto"/>
        <w:right w:val="none" w:sz="0" w:space="0" w:color="auto"/>
      </w:divBdr>
    </w:div>
    <w:div w:id="573441006">
      <w:bodyDiv w:val="1"/>
      <w:marLeft w:val="0"/>
      <w:marRight w:val="0"/>
      <w:marTop w:val="0"/>
      <w:marBottom w:val="0"/>
      <w:divBdr>
        <w:top w:val="none" w:sz="0" w:space="0" w:color="auto"/>
        <w:left w:val="none" w:sz="0" w:space="0" w:color="auto"/>
        <w:bottom w:val="none" w:sz="0" w:space="0" w:color="auto"/>
        <w:right w:val="none" w:sz="0" w:space="0" w:color="auto"/>
      </w:divBdr>
    </w:div>
    <w:div w:id="597106956">
      <w:bodyDiv w:val="1"/>
      <w:marLeft w:val="0"/>
      <w:marRight w:val="0"/>
      <w:marTop w:val="0"/>
      <w:marBottom w:val="0"/>
      <w:divBdr>
        <w:top w:val="none" w:sz="0" w:space="0" w:color="auto"/>
        <w:left w:val="none" w:sz="0" w:space="0" w:color="auto"/>
        <w:bottom w:val="none" w:sz="0" w:space="0" w:color="auto"/>
        <w:right w:val="none" w:sz="0" w:space="0" w:color="auto"/>
      </w:divBdr>
    </w:div>
    <w:div w:id="603925650">
      <w:bodyDiv w:val="1"/>
      <w:marLeft w:val="0"/>
      <w:marRight w:val="0"/>
      <w:marTop w:val="0"/>
      <w:marBottom w:val="0"/>
      <w:divBdr>
        <w:top w:val="none" w:sz="0" w:space="0" w:color="auto"/>
        <w:left w:val="none" w:sz="0" w:space="0" w:color="auto"/>
        <w:bottom w:val="none" w:sz="0" w:space="0" w:color="auto"/>
        <w:right w:val="none" w:sz="0" w:space="0" w:color="auto"/>
      </w:divBdr>
    </w:div>
    <w:div w:id="613168502">
      <w:bodyDiv w:val="1"/>
      <w:marLeft w:val="0"/>
      <w:marRight w:val="0"/>
      <w:marTop w:val="0"/>
      <w:marBottom w:val="0"/>
      <w:divBdr>
        <w:top w:val="none" w:sz="0" w:space="0" w:color="auto"/>
        <w:left w:val="none" w:sz="0" w:space="0" w:color="auto"/>
        <w:bottom w:val="none" w:sz="0" w:space="0" w:color="auto"/>
        <w:right w:val="none" w:sz="0" w:space="0" w:color="auto"/>
      </w:divBdr>
    </w:div>
    <w:div w:id="614216528">
      <w:bodyDiv w:val="1"/>
      <w:marLeft w:val="0"/>
      <w:marRight w:val="0"/>
      <w:marTop w:val="0"/>
      <w:marBottom w:val="0"/>
      <w:divBdr>
        <w:top w:val="none" w:sz="0" w:space="0" w:color="auto"/>
        <w:left w:val="none" w:sz="0" w:space="0" w:color="auto"/>
        <w:bottom w:val="none" w:sz="0" w:space="0" w:color="auto"/>
        <w:right w:val="none" w:sz="0" w:space="0" w:color="auto"/>
      </w:divBdr>
    </w:div>
    <w:div w:id="647706674">
      <w:bodyDiv w:val="1"/>
      <w:marLeft w:val="0"/>
      <w:marRight w:val="0"/>
      <w:marTop w:val="0"/>
      <w:marBottom w:val="0"/>
      <w:divBdr>
        <w:top w:val="none" w:sz="0" w:space="0" w:color="auto"/>
        <w:left w:val="none" w:sz="0" w:space="0" w:color="auto"/>
        <w:bottom w:val="none" w:sz="0" w:space="0" w:color="auto"/>
        <w:right w:val="none" w:sz="0" w:space="0" w:color="auto"/>
      </w:divBdr>
    </w:div>
    <w:div w:id="656032123">
      <w:bodyDiv w:val="1"/>
      <w:marLeft w:val="0"/>
      <w:marRight w:val="0"/>
      <w:marTop w:val="0"/>
      <w:marBottom w:val="0"/>
      <w:divBdr>
        <w:top w:val="none" w:sz="0" w:space="0" w:color="auto"/>
        <w:left w:val="none" w:sz="0" w:space="0" w:color="auto"/>
        <w:bottom w:val="none" w:sz="0" w:space="0" w:color="auto"/>
        <w:right w:val="none" w:sz="0" w:space="0" w:color="auto"/>
      </w:divBdr>
    </w:div>
    <w:div w:id="667293305">
      <w:bodyDiv w:val="1"/>
      <w:marLeft w:val="0"/>
      <w:marRight w:val="0"/>
      <w:marTop w:val="0"/>
      <w:marBottom w:val="0"/>
      <w:divBdr>
        <w:top w:val="none" w:sz="0" w:space="0" w:color="auto"/>
        <w:left w:val="none" w:sz="0" w:space="0" w:color="auto"/>
        <w:bottom w:val="none" w:sz="0" w:space="0" w:color="auto"/>
        <w:right w:val="none" w:sz="0" w:space="0" w:color="auto"/>
      </w:divBdr>
    </w:div>
    <w:div w:id="731656444">
      <w:bodyDiv w:val="1"/>
      <w:marLeft w:val="0"/>
      <w:marRight w:val="0"/>
      <w:marTop w:val="0"/>
      <w:marBottom w:val="0"/>
      <w:divBdr>
        <w:top w:val="none" w:sz="0" w:space="0" w:color="auto"/>
        <w:left w:val="none" w:sz="0" w:space="0" w:color="auto"/>
        <w:bottom w:val="none" w:sz="0" w:space="0" w:color="auto"/>
        <w:right w:val="none" w:sz="0" w:space="0" w:color="auto"/>
      </w:divBdr>
    </w:div>
    <w:div w:id="736513849">
      <w:bodyDiv w:val="1"/>
      <w:marLeft w:val="0"/>
      <w:marRight w:val="0"/>
      <w:marTop w:val="0"/>
      <w:marBottom w:val="0"/>
      <w:divBdr>
        <w:top w:val="none" w:sz="0" w:space="0" w:color="auto"/>
        <w:left w:val="none" w:sz="0" w:space="0" w:color="auto"/>
        <w:bottom w:val="none" w:sz="0" w:space="0" w:color="auto"/>
        <w:right w:val="none" w:sz="0" w:space="0" w:color="auto"/>
      </w:divBdr>
    </w:div>
    <w:div w:id="755126991">
      <w:bodyDiv w:val="1"/>
      <w:marLeft w:val="0"/>
      <w:marRight w:val="0"/>
      <w:marTop w:val="0"/>
      <w:marBottom w:val="0"/>
      <w:divBdr>
        <w:top w:val="none" w:sz="0" w:space="0" w:color="auto"/>
        <w:left w:val="none" w:sz="0" w:space="0" w:color="auto"/>
        <w:bottom w:val="none" w:sz="0" w:space="0" w:color="auto"/>
        <w:right w:val="none" w:sz="0" w:space="0" w:color="auto"/>
      </w:divBdr>
    </w:div>
    <w:div w:id="771903896">
      <w:bodyDiv w:val="1"/>
      <w:marLeft w:val="0"/>
      <w:marRight w:val="0"/>
      <w:marTop w:val="0"/>
      <w:marBottom w:val="0"/>
      <w:divBdr>
        <w:top w:val="none" w:sz="0" w:space="0" w:color="auto"/>
        <w:left w:val="none" w:sz="0" w:space="0" w:color="auto"/>
        <w:bottom w:val="none" w:sz="0" w:space="0" w:color="auto"/>
        <w:right w:val="none" w:sz="0" w:space="0" w:color="auto"/>
      </w:divBdr>
    </w:div>
    <w:div w:id="775054739">
      <w:bodyDiv w:val="1"/>
      <w:marLeft w:val="0"/>
      <w:marRight w:val="0"/>
      <w:marTop w:val="0"/>
      <w:marBottom w:val="0"/>
      <w:divBdr>
        <w:top w:val="none" w:sz="0" w:space="0" w:color="auto"/>
        <w:left w:val="none" w:sz="0" w:space="0" w:color="auto"/>
        <w:bottom w:val="none" w:sz="0" w:space="0" w:color="auto"/>
        <w:right w:val="none" w:sz="0" w:space="0" w:color="auto"/>
      </w:divBdr>
    </w:div>
    <w:div w:id="797144578">
      <w:bodyDiv w:val="1"/>
      <w:marLeft w:val="0"/>
      <w:marRight w:val="0"/>
      <w:marTop w:val="0"/>
      <w:marBottom w:val="0"/>
      <w:divBdr>
        <w:top w:val="none" w:sz="0" w:space="0" w:color="auto"/>
        <w:left w:val="none" w:sz="0" w:space="0" w:color="auto"/>
        <w:bottom w:val="none" w:sz="0" w:space="0" w:color="auto"/>
        <w:right w:val="none" w:sz="0" w:space="0" w:color="auto"/>
      </w:divBdr>
    </w:div>
    <w:div w:id="802235317">
      <w:bodyDiv w:val="1"/>
      <w:marLeft w:val="0"/>
      <w:marRight w:val="0"/>
      <w:marTop w:val="0"/>
      <w:marBottom w:val="0"/>
      <w:divBdr>
        <w:top w:val="none" w:sz="0" w:space="0" w:color="auto"/>
        <w:left w:val="none" w:sz="0" w:space="0" w:color="auto"/>
        <w:bottom w:val="none" w:sz="0" w:space="0" w:color="auto"/>
        <w:right w:val="none" w:sz="0" w:space="0" w:color="auto"/>
      </w:divBdr>
    </w:div>
    <w:div w:id="812718583">
      <w:bodyDiv w:val="1"/>
      <w:marLeft w:val="0"/>
      <w:marRight w:val="0"/>
      <w:marTop w:val="0"/>
      <w:marBottom w:val="0"/>
      <w:divBdr>
        <w:top w:val="none" w:sz="0" w:space="0" w:color="auto"/>
        <w:left w:val="none" w:sz="0" w:space="0" w:color="auto"/>
        <w:bottom w:val="none" w:sz="0" w:space="0" w:color="auto"/>
        <w:right w:val="none" w:sz="0" w:space="0" w:color="auto"/>
      </w:divBdr>
    </w:div>
    <w:div w:id="812721580">
      <w:bodyDiv w:val="1"/>
      <w:marLeft w:val="0"/>
      <w:marRight w:val="0"/>
      <w:marTop w:val="0"/>
      <w:marBottom w:val="0"/>
      <w:divBdr>
        <w:top w:val="none" w:sz="0" w:space="0" w:color="auto"/>
        <w:left w:val="none" w:sz="0" w:space="0" w:color="auto"/>
        <w:bottom w:val="none" w:sz="0" w:space="0" w:color="auto"/>
        <w:right w:val="none" w:sz="0" w:space="0" w:color="auto"/>
      </w:divBdr>
    </w:div>
    <w:div w:id="819079369">
      <w:bodyDiv w:val="1"/>
      <w:marLeft w:val="0"/>
      <w:marRight w:val="0"/>
      <w:marTop w:val="0"/>
      <w:marBottom w:val="0"/>
      <w:divBdr>
        <w:top w:val="none" w:sz="0" w:space="0" w:color="auto"/>
        <w:left w:val="none" w:sz="0" w:space="0" w:color="auto"/>
        <w:bottom w:val="none" w:sz="0" w:space="0" w:color="auto"/>
        <w:right w:val="none" w:sz="0" w:space="0" w:color="auto"/>
      </w:divBdr>
    </w:div>
    <w:div w:id="822350487">
      <w:bodyDiv w:val="1"/>
      <w:marLeft w:val="0"/>
      <w:marRight w:val="0"/>
      <w:marTop w:val="0"/>
      <w:marBottom w:val="0"/>
      <w:divBdr>
        <w:top w:val="none" w:sz="0" w:space="0" w:color="auto"/>
        <w:left w:val="none" w:sz="0" w:space="0" w:color="auto"/>
        <w:bottom w:val="none" w:sz="0" w:space="0" w:color="auto"/>
        <w:right w:val="none" w:sz="0" w:space="0" w:color="auto"/>
      </w:divBdr>
    </w:div>
    <w:div w:id="840510261">
      <w:bodyDiv w:val="1"/>
      <w:marLeft w:val="0"/>
      <w:marRight w:val="0"/>
      <w:marTop w:val="0"/>
      <w:marBottom w:val="0"/>
      <w:divBdr>
        <w:top w:val="none" w:sz="0" w:space="0" w:color="auto"/>
        <w:left w:val="none" w:sz="0" w:space="0" w:color="auto"/>
        <w:bottom w:val="none" w:sz="0" w:space="0" w:color="auto"/>
        <w:right w:val="none" w:sz="0" w:space="0" w:color="auto"/>
      </w:divBdr>
    </w:div>
    <w:div w:id="853569913">
      <w:bodyDiv w:val="1"/>
      <w:marLeft w:val="0"/>
      <w:marRight w:val="0"/>
      <w:marTop w:val="0"/>
      <w:marBottom w:val="0"/>
      <w:divBdr>
        <w:top w:val="none" w:sz="0" w:space="0" w:color="auto"/>
        <w:left w:val="none" w:sz="0" w:space="0" w:color="auto"/>
        <w:bottom w:val="none" w:sz="0" w:space="0" w:color="auto"/>
        <w:right w:val="none" w:sz="0" w:space="0" w:color="auto"/>
      </w:divBdr>
    </w:div>
    <w:div w:id="860775703">
      <w:bodyDiv w:val="1"/>
      <w:marLeft w:val="0"/>
      <w:marRight w:val="0"/>
      <w:marTop w:val="0"/>
      <w:marBottom w:val="0"/>
      <w:divBdr>
        <w:top w:val="none" w:sz="0" w:space="0" w:color="auto"/>
        <w:left w:val="none" w:sz="0" w:space="0" w:color="auto"/>
        <w:bottom w:val="none" w:sz="0" w:space="0" w:color="auto"/>
        <w:right w:val="none" w:sz="0" w:space="0" w:color="auto"/>
      </w:divBdr>
    </w:div>
    <w:div w:id="865755541">
      <w:bodyDiv w:val="1"/>
      <w:marLeft w:val="0"/>
      <w:marRight w:val="0"/>
      <w:marTop w:val="0"/>
      <w:marBottom w:val="0"/>
      <w:divBdr>
        <w:top w:val="none" w:sz="0" w:space="0" w:color="auto"/>
        <w:left w:val="none" w:sz="0" w:space="0" w:color="auto"/>
        <w:bottom w:val="none" w:sz="0" w:space="0" w:color="auto"/>
        <w:right w:val="none" w:sz="0" w:space="0" w:color="auto"/>
      </w:divBdr>
    </w:div>
    <w:div w:id="867110127">
      <w:bodyDiv w:val="1"/>
      <w:marLeft w:val="0"/>
      <w:marRight w:val="0"/>
      <w:marTop w:val="0"/>
      <w:marBottom w:val="0"/>
      <w:divBdr>
        <w:top w:val="none" w:sz="0" w:space="0" w:color="auto"/>
        <w:left w:val="none" w:sz="0" w:space="0" w:color="auto"/>
        <w:bottom w:val="none" w:sz="0" w:space="0" w:color="auto"/>
        <w:right w:val="none" w:sz="0" w:space="0" w:color="auto"/>
      </w:divBdr>
    </w:div>
    <w:div w:id="868878021">
      <w:bodyDiv w:val="1"/>
      <w:marLeft w:val="0"/>
      <w:marRight w:val="0"/>
      <w:marTop w:val="0"/>
      <w:marBottom w:val="0"/>
      <w:divBdr>
        <w:top w:val="none" w:sz="0" w:space="0" w:color="auto"/>
        <w:left w:val="none" w:sz="0" w:space="0" w:color="auto"/>
        <w:bottom w:val="none" w:sz="0" w:space="0" w:color="auto"/>
        <w:right w:val="none" w:sz="0" w:space="0" w:color="auto"/>
      </w:divBdr>
    </w:div>
    <w:div w:id="879439318">
      <w:bodyDiv w:val="1"/>
      <w:marLeft w:val="0"/>
      <w:marRight w:val="0"/>
      <w:marTop w:val="0"/>
      <w:marBottom w:val="0"/>
      <w:divBdr>
        <w:top w:val="none" w:sz="0" w:space="0" w:color="auto"/>
        <w:left w:val="none" w:sz="0" w:space="0" w:color="auto"/>
        <w:bottom w:val="none" w:sz="0" w:space="0" w:color="auto"/>
        <w:right w:val="none" w:sz="0" w:space="0" w:color="auto"/>
      </w:divBdr>
    </w:div>
    <w:div w:id="884831835">
      <w:bodyDiv w:val="1"/>
      <w:marLeft w:val="0"/>
      <w:marRight w:val="0"/>
      <w:marTop w:val="0"/>
      <w:marBottom w:val="0"/>
      <w:divBdr>
        <w:top w:val="none" w:sz="0" w:space="0" w:color="auto"/>
        <w:left w:val="none" w:sz="0" w:space="0" w:color="auto"/>
        <w:bottom w:val="none" w:sz="0" w:space="0" w:color="auto"/>
        <w:right w:val="none" w:sz="0" w:space="0" w:color="auto"/>
      </w:divBdr>
    </w:div>
    <w:div w:id="886800107">
      <w:bodyDiv w:val="1"/>
      <w:marLeft w:val="0"/>
      <w:marRight w:val="0"/>
      <w:marTop w:val="0"/>
      <w:marBottom w:val="0"/>
      <w:divBdr>
        <w:top w:val="none" w:sz="0" w:space="0" w:color="auto"/>
        <w:left w:val="none" w:sz="0" w:space="0" w:color="auto"/>
        <w:bottom w:val="none" w:sz="0" w:space="0" w:color="auto"/>
        <w:right w:val="none" w:sz="0" w:space="0" w:color="auto"/>
      </w:divBdr>
    </w:div>
    <w:div w:id="900334339">
      <w:bodyDiv w:val="1"/>
      <w:marLeft w:val="0"/>
      <w:marRight w:val="0"/>
      <w:marTop w:val="0"/>
      <w:marBottom w:val="0"/>
      <w:divBdr>
        <w:top w:val="none" w:sz="0" w:space="0" w:color="auto"/>
        <w:left w:val="none" w:sz="0" w:space="0" w:color="auto"/>
        <w:bottom w:val="none" w:sz="0" w:space="0" w:color="auto"/>
        <w:right w:val="none" w:sz="0" w:space="0" w:color="auto"/>
      </w:divBdr>
    </w:div>
    <w:div w:id="901067321">
      <w:bodyDiv w:val="1"/>
      <w:marLeft w:val="0"/>
      <w:marRight w:val="0"/>
      <w:marTop w:val="0"/>
      <w:marBottom w:val="0"/>
      <w:divBdr>
        <w:top w:val="none" w:sz="0" w:space="0" w:color="auto"/>
        <w:left w:val="none" w:sz="0" w:space="0" w:color="auto"/>
        <w:bottom w:val="none" w:sz="0" w:space="0" w:color="auto"/>
        <w:right w:val="none" w:sz="0" w:space="0" w:color="auto"/>
      </w:divBdr>
    </w:div>
    <w:div w:id="914703286">
      <w:bodyDiv w:val="1"/>
      <w:marLeft w:val="0"/>
      <w:marRight w:val="0"/>
      <w:marTop w:val="0"/>
      <w:marBottom w:val="0"/>
      <w:divBdr>
        <w:top w:val="none" w:sz="0" w:space="0" w:color="auto"/>
        <w:left w:val="none" w:sz="0" w:space="0" w:color="auto"/>
        <w:bottom w:val="none" w:sz="0" w:space="0" w:color="auto"/>
        <w:right w:val="none" w:sz="0" w:space="0" w:color="auto"/>
      </w:divBdr>
    </w:div>
    <w:div w:id="963728037">
      <w:bodyDiv w:val="1"/>
      <w:marLeft w:val="0"/>
      <w:marRight w:val="0"/>
      <w:marTop w:val="0"/>
      <w:marBottom w:val="0"/>
      <w:divBdr>
        <w:top w:val="none" w:sz="0" w:space="0" w:color="auto"/>
        <w:left w:val="none" w:sz="0" w:space="0" w:color="auto"/>
        <w:bottom w:val="none" w:sz="0" w:space="0" w:color="auto"/>
        <w:right w:val="none" w:sz="0" w:space="0" w:color="auto"/>
      </w:divBdr>
    </w:div>
    <w:div w:id="967316015">
      <w:bodyDiv w:val="1"/>
      <w:marLeft w:val="0"/>
      <w:marRight w:val="0"/>
      <w:marTop w:val="0"/>
      <w:marBottom w:val="0"/>
      <w:divBdr>
        <w:top w:val="none" w:sz="0" w:space="0" w:color="auto"/>
        <w:left w:val="none" w:sz="0" w:space="0" w:color="auto"/>
        <w:bottom w:val="none" w:sz="0" w:space="0" w:color="auto"/>
        <w:right w:val="none" w:sz="0" w:space="0" w:color="auto"/>
      </w:divBdr>
    </w:div>
    <w:div w:id="970941423">
      <w:bodyDiv w:val="1"/>
      <w:marLeft w:val="0"/>
      <w:marRight w:val="0"/>
      <w:marTop w:val="0"/>
      <w:marBottom w:val="0"/>
      <w:divBdr>
        <w:top w:val="none" w:sz="0" w:space="0" w:color="auto"/>
        <w:left w:val="none" w:sz="0" w:space="0" w:color="auto"/>
        <w:bottom w:val="none" w:sz="0" w:space="0" w:color="auto"/>
        <w:right w:val="none" w:sz="0" w:space="0" w:color="auto"/>
      </w:divBdr>
    </w:div>
    <w:div w:id="992295149">
      <w:bodyDiv w:val="1"/>
      <w:marLeft w:val="0"/>
      <w:marRight w:val="0"/>
      <w:marTop w:val="0"/>
      <w:marBottom w:val="0"/>
      <w:divBdr>
        <w:top w:val="none" w:sz="0" w:space="0" w:color="auto"/>
        <w:left w:val="none" w:sz="0" w:space="0" w:color="auto"/>
        <w:bottom w:val="none" w:sz="0" w:space="0" w:color="auto"/>
        <w:right w:val="none" w:sz="0" w:space="0" w:color="auto"/>
      </w:divBdr>
    </w:div>
    <w:div w:id="995063572">
      <w:bodyDiv w:val="1"/>
      <w:marLeft w:val="0"/>
      <w:marRight w:val="0"/>
      <w:marTop w:val="0"/>
      <w:marBottom w:val="0"/>
      <w:divBdr>
        <w:top w:val="none" w:sz="0" w:space="0" w:color="auto"/>
        <w:left w:val="none" w:sz="0" w:space="0" w:color="auto"/>
        <w:bottom w:val="none" w:sz="0" w:space="0" w:color="auto"/>
        <w:right w:val="none" w:sz="0" w:space="0" w:color="auto"/>
      </w:divBdr>
    </w:div>
    <w:div w:id="997272095">
      <w:bodyDiv w:val="1"/>
      <w:marLeft w:val="0"/>
      <w:marRight w:val="0"/>
      <w:marTop w:val="0"/>
      <w:marBottom w:val="0"/>
      <w:divBdr>
        <w:top w:val="none" w:sz="0" w:space="0" w:color="auto"/>
        <w:left w:val="none" w:sz="0" w:space="0" w:color="auto"/>
        <w:bottom w:val="none" w:sz="0" w:space="0" w:color="auto"/>
        <w:right w:val="none" w:sz="0" w:space="0" w:color="auto"/>
      </w:divBdr>
    </w:div>
    <w:div w:id="1017539593">
      <w:bodyDiv w:val="1"/>
      <w:marLeft w:val="0"/>
      <w:marRight w:val="0"/>
      <w:marTop w:val="0"/>
      <w:marBottom w:val="0"/>
      <w:divBdr>
        <w:top w:val="none" w:sz="0" w:space="0" w:color="auto"/>
        <w:left w:val="none" w:sz="0" w:space="0" w:color="auto"/>
        <w:bottom w:val="none" w:sz="0" w:space="0" w:color="auto"/>
        <w:right w:val="none" w:sz="0" w:space="0" w:color="auto"/>
      </w:divBdr>
    </w:div>
    <w:div w:id="1022130699">
      <w:bodyDiv w:val="1"/>
      <w:marLeft w:val="0"/>
      <w:marRight w:val="0"/>
      <w:marTop w:val="0"/>
      <w:marBottom w:val="0"/>
      <w:divBdr>
        <w:top w:val="none" w:sz="0" w:space="0" w:color="auto"/>
        <w:left w:val="none" w:sz="0" w:space="0" w:color="auto"/>
        <w:bottom w:val="none" w:sz="0" w:space="0" w:color="auto"/>
        <w:right w:val="none" w:sz="0" w:space="0" w:color="auto"/>
      </w:divBdr>
    </w:div>
    <w:div w:id="1025327814">
      <w:bodyDiv w:val="1"/>
      <w:marLeft w:val="0"/>
      <w:marRight w:val="0"/>
      <w:marTop w:val="0"/>
      <w:marBottom w:val="0"/>
      <w:divBdr>
        <w:top w:val="none" w:sz="0" w:space="0" w:color="auto"/>
        <w:left w:val="none" w:sz="0" w:space="0" w:color="auto"/>
        <w:bottom w:val="none" w:sz="0" w:space="0" w:color="auto"/>
        <w:right w:val="none" w:sz="0" w:space="0" w:color="auto"/>
      </w:divBdr>
    </w:div>
    <w:div w:id="1032414846">
      <w:bodyDiv w:val="1"/>
      <w:marLeft w:val="0"/>
      <w:marRight w:val="0"/>
      <w:marTop w:val="0"/>
      <w:marBottom w:val="0"/>
      <w:divBdr>
        <w:top w:val="none" w:sz="0" w:space="0" w:color="auto"/>
        <w:left w:val="none" w:sz="0" w:space="0" w:color="auto"/>
        <w:bottom w:val="none" w:sz="0" w:space="0" w:color="auto"/>
        <w:right w:val="none" w:sz="0" w:space="0" w:color="auto"/>
      </w:divBdr>
    </w:div>
    <w:div w:id="1065226642">
      <w:bodyDiv w:val="1"/>
      <w:marLeft w:val="0"/>
      <w:marRight w:val="0"/>
      <w:marTop w:val="0"/>
      <w:marBottom w:val="0"/>
      <w:divBdr>
        <w:top w:val="none" w:sz="0" w:space="0" w:color="auto"/>
        <w:left w:val="none" w:sz="0" w:space="0" w:color="auto"/>
        <w:bottom w:val="none" w:sz="0" w:space="0" w:color="auto"/>
        <w:right w:val="none" w:sz="0" w:space="0" w:color="auto"/>
      </w:divBdr>
    </w:div>
    <w:div w:id="1069767687">
      <w:bodyDiv w:val="1"/>
      <w:marLeft w:val="0"/>
      <w:marRight w:val="0"/>
      <w:marTop w:val="0"/>
      <w:marBottom w:val="0"/>
      <w:divBdr>
        <w:top w:val="none" w:sz="0" w:space="0" w:color="auto"/>
        <w:left w:val="none" w:sz="0" w:space="0" w:color="auto"/>
        <w:bottom w:val="none" w:sz="0" w:space="0" w:color="auto"/>
        <w:right w:val="none" w:sz="0" w:space="0" w:color="auto"/>
      </w:divBdr>
    </w:div>
    <w:div w:id="1084718904">
      <w:bodyDiv w:val="1"/>
      <w:marLeft w:val="0"/>
      <w:marRight w:val="0"/>
      <w:marTop w:val="0"/>
      <w:marBottom w:val="0"/>
      <w:divBdr>
        <w:top w:val="none" w:sz="0" w:space="0" w:color="auto"/>
        <w:left w:val="none" w:sz="0" w:space="0" w:color="auto"/>
        <w:bottom w:val="none" w:sz="0" w:space="0" w:color="auto"/>
        <w:right w:val="none" w:sz="0" w:space="0" w:color="auto"/>
      </w:divBdr>
    </w:div>
    <w:div w:id="1088887679">
      <w:bodyDiv w:val="1"/>
      <w:marLeft w:val="0"/>
      <w:marRight w:val="0"/>
      <w:marTop w:val="0"/>
      <w:marBottom w:val="0"/>
      <w:divBdr>
        <w:top w:val="none" w:sz="0" w:space="0" w:color="auto"/>
        <w:left w:val="none" w:sz="0" w:space="0" w:color="auto"/>
        <w:bottom w:val="none" w:sz="0" w:space="0" w:color="auto"/>
        <w:right w:val="none" w:sz="0" w:space="0" w:color="auto"/>
      </w:divBdr>
    </w:div>
    <w:div w:id="1101022883">
      <w:bodyDiv w:val="1"/>
      <w:marLeft w:val="0"/>
      <w:marRight w:val="0"/>
      <w:marTop w:val="0"/>
      <w:marBottom w:val="0"/>
      <w:divBdr>
        <w:top w:val="none" w:sz="0" w:space="0" w:color="auto"/>
        <w:left w:val="none" w:sz="0" w:space="0" w:color="auto"/>
        <w:bottom w:val="none" w:sz="0" w:space="0" w:color="auto"/>
        <w:right w:val="none" w:sz="0" w:space="0" w:color="auto"/>
      </w:divBdr>
    </w:div>
    <w:div w:id="1109736054">
      <w:bodyDiv w:val="1"/>
      <w:marLeft w:val="0"/>
      <w:marRight w:val="0"/>
      <w:marTop w:val="0"/>
      <w:marBottom w:val="0"/>
      <w:divBdr>
        <w:top w:val="none" w:sz="0" w:space="0" w:color="auto"/>
        <w:left w:val="none" w:sz="0" w:space="0" w:color="auto"/>
        <w:bottom w:val="none" w:sz="0" w:space="0" w:color="auto"/>
        <w:right w:val="none" w:sz="0" w:space="0" w:color="auto"/>
      </w:divBdr>
      <w:divsChild>
        <w:div w:id="1500926284">
          <w:marLeft w:val="0"/>
          <w:marRight w:val="0"/>
          <w:marTop w:val="0"/>
          <w:marBottom w:val="0"/>
          <w:divBdr>
            <w:top w:val="none" w:sz="0" w:space="0" w:color="auto"/>
            <w:left w:val="none" w:sz="0" w:space="0" w:color="auto"/>
            <w:bottom w:val="none" w:sz="0" w:space="0" w:color="auto"/>
            <w:right w:val="none" w:sz="0" w:space="0" w:color="auto"/>
          </w:divBdr>
          <w:divsChild>
            <w:div w:id="1169518895">
              <w:marLeft w:val="0"/>
              <w:marRight w:val="0"/>
              <w:marTop w:val="0"/>
              <w:marBottom w:val="0"/>
              <w:divBdr>
                <w:top w:val="none" w:sz="0" w:space="0" w:color="auto"/>
                <w:left w:val="none" w:sz="0" w:space="0" w:color="auto"/>
                <w:bottom w:val="none" w:sz="0" w:space="0" w:color="auto"/>
                <w:right w:val="none" w:sz="0" w:space="0" w:color="auto"/>
              </w:divBdr>
              <w:divsChild>
                <w:div w:id="40057930">
                  <w:marLeft w:val="0"/>
                  <w:marRight w:val="0"/>
                  <w:marTop w:val="0"/>
                  <w:marBottom w:val="0"/>
                  <w:divBdr>
                    <w:top w:val="none" w:sz="0" w:space="0" w:color="auto"/>
                    <w:left w:val="none" w:sz="0" w:space="0" w:color="auto"/>
                    <w:bottom w:val="none" w:sz="0" w:space="0" w:color="auto"/>
                    <w:right w:val="none" w:sz="0" w:space="0" w:color="auto"/>
                  </w:divBdr>
                  <w:divsChild>
                    <w:div w:id="1448812042">
                      <w:marLeft w:val="0"/>
                      <w:marRight w:val="0"/>
                      <w:marTop w:val="0"/>
                      <w:marBottom w:val="0"/>
                      <w:divBdr>
                        <w:top w:val="none" w:sz="0" w:space="0" w:color="auto"/>
                        <w:left w:val="none" w:sz="0" w:space="0" w:color="auto"/>
                        <w:bottom w:val="none" w:sz="0" w:space="0" w:color="auto"/>
                        <w:right w:val="none" w:sz="0" w:space="0" w:color="auto"/>
                      </w:divBdr>
                      <w:divsChild>
                        <w:div w:id="465660096">
                          <w:marLeft w:val="0"/>
                          <w:marRight w:val="0"/>
                          <w:marTop w:val="0"/>
                          <w:marBottom w:val="0"/>
                          <w:divBdr>
                            <w:top w:val="none" w:sz="0" w:space="0" w:color="auto"/>
                            <w:left w:val="none" w:sz="0" w:space="0" w:color="auto"/>
                            <w:bottom w:val="none" w:sz="0" w:space="0" w:color="auto"/>
                            <w:right w:val="none" w:sz="0" w:space="0" w:color="auto"/>
                          </w:divBdr>
                          <w:divsChild>
                            <w:div w:id="909005009">
                              <w:marLeft w:val="0"/>
                              <w:marRight w:val="0"/>
                              <w:marTop w:val="0"/>
                              <w:marBottom w:val="0"/>
                              <w:divBdr>
                                <w:top w:val="none" w:sz="0" w:space="0" w:color="auto"/>
                                <w:left w:val="none" w:sz="0" w:space="0" w:color="auto"/>
                                <w:bottom w:val="none" w:sz="0" w:space="0" w:color="auto"/>
                                <w:right w:val="none" w:sz="0" w:space="0" w:color="auto"/>
                              </w:divBdr>
                              <w:divsChild>
                                <w:div w:id="539438240">
                                  <w:marLeft w:val="0"/>
                                  <w:marRight w:val="0"/>
                                  <w:marTop w:val="0"/>
                                  <w:marBottom w:val="0"/>
                                  <w:divBdr>
                                    <w:top w:val="none" w:sz="0" w:space="0" w:color="auto"/>
                                    <w:left w:val="none" w:sz="0" w:space="0" w:color="auto"/>
                                    <w:bottom w:val="none" w:sz="0" w:space="0" w:color="auto"/>
                                    <w:right w:val="none" w:sz="0" w:space="0" w:color="auto"/>
                                  </w:divBdr>
                                  <w:divsChild>
                                    <w:div w:id="2106462122">
                                      <w:marLeft w:val="0"/>
                                      <w:marRight w:val="0"/>
                                      <w:marTop w:val="0"/>
                                      <w:marBottom w:val="0"/>
                                      <w:divBdr>
                                        <w:top w:val="none" w:sz="0" w:space="0" w:color="auto"/>
                                        <w:left w:val="none" w:sz="0" w:space="0" w:color="auto"/>
                                        <w:bottom w:val="none" w:sz="0" w:space="0" w:color="auto"/>
                                        <w:right w:val="none" w:sz="0" w:space="0" w:color="auto"/>
                                      </w:divBdr>
                                      <w:divsChild>
                                        <w:div w:id="2135176378">
                                          <w:marLeft w:val="0"/>
                                          <w:marRight w:val="0"/>
                                          <w:marTop w:val="0"/>
                                          <w:marBottom w:val="0"/>
                                          <w:divBdr>
                                            <w:top w:val="none" w:sz="0" w:space="0" w:color="auto"/>
                                            <w:left w:val="none" w:sz="0" w:space="0" w:color="auto"/>
                                            <w:bottom w:val="none" w:sz="0" w:space="0" w:color="auto"/>
                                            <w:right w:val="none" w:sz="0" w:space="0" w:color="auto"/>
                                          </w:divBdr>
                                          <w:divsChild>
                                            <w:div w:id="26416026">
                                              <w:marLeft w:val="0"/>
                                              <w:marRight w:val="0"/>
                                              <w:marTop w:val="0"/>
                                              <w:marBottom w:val="0"/>
                                              <w:divBdr>
                                                <w:top w:val="none" w:sz="0" w:space="0" w:color="auto"/>
                                                <w:left w:val="none" w:sz="0" w:space="0" w:color="auto"/>
                                                <w:bottom w:val="none" w:sz="0" w:space="0" w:color="auto"/>
                                                <w:right w:val="none" w:sz="0" w:space="0" w:color="auto"/>
                                              </w:divBdr>
                                              <w:divsChild>
                                                <w:div w:id="1636179918">
                                                  <w:marLeft w:val="0"/>
                                                  <w:marRight w:val="0"/>
                                                  <w:marTop w:val="0"/>
                                                  <w:marBottom w:val="0"/>
                                                  <w:divBdr>
                                                    <w:top w:val="none" w:sz="0" w:space="0" w:color="auto"/>
                                                    <w:left w:val="none" w:sz="0" w:space="0" w:color="auto"/>
                                                    <w:bottom w:val="none" w:sz="0" w:space="0" w:color="auto"/>
                                                    <w:right w:val="none" w:sz="0" w:space="0" w:color="auto"/>
                                                  </w:divBdr>
                                                </w:div>
                                                <w:div w:id="2118214709">
                                                  <w:marLeft w:val="0"/>
                                                  <w:marRight w:val="0"/>
                                                  <w:marTop w:val="0"/>
                                                  <w:marBottom w:val="0"/>
                                                  <w:divBdr>
                                                    <w:top w:val="none" w:sz="0" w:space="0" w:color="auto"/>
                                                    <w:left w:val="none" w:sz="0" w:space="0" w:color="auto"/>
                                                    <w:bottom w:val="none" w:sz="0" w:space="0" w:color="auto"/>
                                                    <w:right w:val="none" w:sz="0" w:space="0" w:color="auto"/>
                                                  </w:divBdr>
                                                  <w:divsChild>
                                                    <w:div w:id="654065983">
                                                      <w:marLeft w:val="0"/>
                                                      <w:marRight w:val="0"/>
                                                      <w:marTop w:val="0"/>
                                                      <w:marBottom w:val="0"/>
                                                      <w:divBdr>
                                                        <w:top w:val="none" w:sz="0" w:space="0" w:color="auto"/>
                                                        <w:left w:val="none" w:sz="0" w:space="0" w:color="auto"/>
                                                        <w:bottom w:val="none" w:sz="0" w:space="0" w:color="auto"/>
                                                        <w:right w:val="none" w:sz="0" w:space="0" w:color="auto"/>
                                                      </w:divBdr>
                                                      <w:divsChild>
                                                        <w:div w:id="1373572153">
                                                          <w:marLeft w:val="0"/>
                                                          <w:marRight w:val="0"/>
                                                          <w:marTop w:val="0"/>
                                                          <w:marBottom w:val="0"/>
                                                          <w:divBdr>
                                                            <w:top w:val="none" w:sz="0" w:space="0" w:color="auto"/>
                                                            <w:left w:val="none" w:sz="0" w:space="0" w:color="auto"/>
                                                            <w:bottom w:val="none" w:sz="0" w:space="0" w:color="auto"/>
                                                            <w:right w:val="none" w:sz="0" w:space="0" w:color="auto"/>
                                                          </w:divBdr>
                                                          <w:divsChild>
                                                            <w:div w:id="891690763">
                                                              <w:marLeft w:val="0"/>
                                                              <w:marRight w:val="0"/>
                                                              <w:marTop w:val="0"/>
                                                              <w:marBottom w:val="0"/>
                                                              <w:divBdr>
                                                                <w:top w:val="none" w:sz="0" w:space="0" w:color="auto"/>
                                                                <w:left w:val="none" w:sz="0" w:space="0" w:color="auto"/>
                                                                <w:bottom w:val="none" w:sz="0" w:space="0" w:color="auto"/>
                                                                <w:right w:val="none" w:sz="0" w:space="0" w:color="auto"/>
                                                              </w:divBdr>
                                                              <w:divsChild>
                                                                <w:div w:id="1804535920">
                                                                  <w:marLeft w:val="0"/>
                                                                  <w:marRight w:val="0"/>
                                                                  <w:marTop w:val="0"/>
                                                                  <w:marBottom w:val="0"/>
                                                                  <w:divBdr>
                                                                    <w:top w:val="none" w:sz="0" w:space="0" w:color="auto"/>
                                                                    <w:left w:val="none" w:sz="0" w:space="0" w:color="auto"/>
                                                                    <w:bottom w:val="none" w:sz="0" w:space="0" w:color="auto"/>
                                                                    <w:right w:val="none" w:sz="0" w:space="0" w:color="auto"/>
                                                                  </w:divBdr>
                                                                  <w:divsChild>
                                                                    <w:div w:id="136842363">
                                                                      <w:marLeft w:val="0"/>
                                                                      <w:marRight w:val="0"/>
                                                                      <w:marTop w:val="0"/>
                                                                      <w:marBottom w:val="0"/>
                                                                      <w:divBdr>
                                                                        <w:top w:val="none" w:sz="0" w:space="0" w:color="auto"/>
                                                                        <w:left w:val="none" w:sz="0" w:space="0" w:color="auto"/>
                                                                        <w:bottom w:val="none" w:sz="0" w:space="0" w:color="auto"/>
                                                                        <w:right w:val="none" w:sz="0" w:space="0" w:color="auto"/>
                                                                      </w:divBdr>
                                                                      <w:divsChild>
                                                                        <w:div w:id="163592447">
                                                                          <w:marLeft w:val="0"/>
                                                                          <w:marRight w:val="0"/>
                                                                          <w:marTop w:val="0"/>
                                                                          <w:marBottom w:val="0"/>
                                                                          <w:divBdr>
                                                                            <w:top w:val="none" w:sz="0" w:space="0" w:color="auto"/>
                                                                            <w:left w:val="none" w:sz="0" w:space="0" w:color="auto"/>
                                                                            <w:bottom w:val="none" w:sz="0" w:space="0" w:color="auto"/>
                                                                            <w:right w:val="none" w:sz="0" w:space="0" w:color="auto"/>
                                                                          </w:divBdr>
                                                                        </w:div>
                                                                        <w:div w:id="204102511">
                                                                          <w:marLeft w:val="0"/>
                                                                          <w:marRight w:val="0"/>
                                                                          <w:marTop w:val="0"/>
                                                                          <w:marBottom w:val="0"/>
                                                                          <w:divBdr>
                                                                            <w:top w:val="none" w:sz="0" w:space="0" w:color="auto"/>
                                                                            <w:left w:val="none" w:sz="0" w:space="0" w:color="auto"/>
                                                                            <w:bottom w:val="none" w:sz="0" w:space="0" w:color="auto"/>
                                                                            <w:right w:val="none" w:sz="0" w:space="0" w:color="auto"/>
                                                                          </w:divBdr>
                                                                        </w:div>
                                                                        <w:div w:id="395202746">
                                                                          <w:marLeft w:val="0"/>
                                                                          <w:marRight w:val="0"/>
                                                                          <w:marTop w:val="0"/>
                                                                          <w:marBottom w:val="0"/>
                                                                          <w:divBdr>
                                                                            <w:top w:val="none" w:sz="0" w:space="0" w:color="auto"/>
                                                                            <w:left w:val="none" w:sz="0" w:space="0" w:color="auto"/>
                                                                            <w:bottom w:val="none" w:sz="0" w:space="0" w:color="auto"/>
                                                                            <w:right w:val="none" w:sz="0" w:space="0" w:color="auto"/>
                                                                          </w:divBdr>
                                                                        </w:div>
                                                                        <w:div w:id="710879705">
                                                                          <w:marLeft w:val="0"/>
                                                                          <w:marRight w:val="0"/>
                                                                          <w:marTop w:val="0"/>
                                                                          <w:marBottom w:val="0"/>
                                                                          <w:divBdr>
                                                                            <w:top w:val="none" w:sz="0" w:space="0" w:color="auto"/>
                                                                            <w:left w:val="none" w:sz="0" w:space="0" w:color="auto"/>
                                                                            <w:bottom w:val="none" w:sz="0" w:space="0" w:color="auto"/>
                                                                            <w:right w:val="none" w:sz="0" w:space="0" w:color="auto"/>
                                                                          </w:divBdr>
                                                                        </w:div>
                                                                        <w:div w:id="1557545134">
                                                                          <w:marLeft w:val="0"/>
                                                                          <w:marRight w:val="0"/>
                                                                          <w:marTop w:val="0"/>
                                                                          <w:marBottom w:val="0"/>
                                                                          <w:divBdr>
                                                                            <w:top w:val="none" w:sz="0" w:space="0" w:color="auto"/>
                                                                            <w:left w:val="none" w:sz="0" w:space="0" w:color="auto"/>
                                                                            <w:bottom w:val="none" w:sz="0" w:space="0" w:color="auto"/>
                                                                            <w:right w:val="none" w:sz="0" w:space="0" w:color="auto"/>
                                                                          </w:divBdr>
                                                                        </w:div>
                                                                        <w:div w:id="17333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007144">
      <w:bodyDiv w:val="1"/>
      <w:marLeft w:val="0"/>
      <w:marRight w:val="0"/>
      <w:marTop w:val="0"/>
      <w:marBottom w:val="0"/>
      <w:divBdr>
        <w:top w:val="none" w:sz="0" w:space="0" w:color="auto"/>
        <w:left w:val="none" w:sz="0" w:space="0" w:color="auto"/>
        <w:bottom w:val="none" w:sz="0" w:space="0" w:color="auto"/>
        <w:right w:val="none" w:sz="0" w:space="0" w:color="auto"/>
      </w:divBdr>
    </w:div>
    <w:div w:id="1122843134">
      <w:bodyDiv w:val="1"/>
      <w:marLeft w:val="0"/>
      <w:marRight w:val="0"/>
      <w:marTop w:val="0"/>
      <w:marBottom w:val="0"/>
      <w:divBdr>
        <w:top w:val="none" w:sz="0" w:space="0" w:color="auto"/>
        <w:left w:val="none" w:sz="0" w:space="0" w:color="auto"/>
        <w:bottom w:val="none" w:sz="0" w:space="0" w:color="auto"/>
        <w:right w:val="none" w:sz="0" w:space="0" w:color="auto"/>
      </w:divBdr>
    </w:div>
    <w:div w:id="1126318587">
      <w:bodyDiv w:val="1"/>
      <w:marLeft w:val="0"/>
      <w:marRight w:val="0"/>
      <w:marTop w:val="0"/>
      <w:marBottom w:val="0"/>
      <w:divBdr>
        <w:top w:val="none" w:sz="0" w:space="0" w:color="auto"/>
        <w:left w:val="none" w:sz="0" w:space="0" w:color="auto"/>
        <w:bottom w:val="none" w:sz="0" w:space="0" w:color="auto"/>
        <w:right w:val="none" w:sz="0" w:space="0" w:color="auto"/>
      </w:divBdr>
    </w:div>
    <w:div w:id="1132333189">
      <w:bodyDiv w:val="1"/>
      <w:marLeft w:val="0"/>
      <w:marRight w:val="0"/>
      <w:marTop w:val="0"/>
      <w:marBottom w:val="0"/>
      <w:divBdr>
        <w:top w:val="none" w:sz="0" w:space="0" w:color="auto"/>
        <w:left w:val="none" w:sz="0" w:space="0" w:color="auto"/>
        <w:bottom w:val="none" w:sz="0" w:space="0" w:color="auto"/>
        <w:right w:val="none" w:sz="0" w:space="0" w:color="auto"/>
      </w:divBdr>
    </w:div>
    <w:div w:id="1156915045">
      <w:bodyDiv w:val="1"/>
      <w:marLeft w:val="0"/>
      <w:marRight w:val="0"/>
      <w:marTop w:val="0"/>
      <w:marBottom w:val="0"/>
      <w:divBdr>
        <w:top w:val="none" w:sz="0" w:space="0" w:color="auto"/>
        <w:left w:val="none" w:sz="0" w:space="0" w:color="auto"/>
        <w:bottom w:val="none" w:sz="0" w:space="0" w:color="auto"/>
        <w:right w:val="none" w:sz="0" w:space="0" w:color="auto"/>
      </w:divBdr>
    </w:div>
    <w:div w:id="1162744179">
      <w:bodyDiv w:val="1"/>
      <w:marLeft w:val="0"/>
      <w:marRight w:val="0"/>
      <w:marTop w:val="0"/>
      <w:marBottom w:val="0"/>
      <w:divBdr>
        <w:top w:val="none" w:sz="0" w:space="0" w:color="auto"/>
        <w:left w:val="none" w:sz="0" w:space="0" w:color="auto"/>
        <w:bottom w:val="none" w:sz="0" w:space="0" w:color="auto"/>
        <w:right w:val="none" w:sz="0" w:space="0" w:color="auto"/>
      </w:divBdr>
    </w:div>
    <w:div w:id="1162938167">
      <w:bodyDiv w:val="1"/>
      <w:marLeft w:val="0"/>
      <w:marRight w:val="0"/>
      <w:marTop w:val="0"/>
      <w:marBottom w:val="0"/>
      <w:divBdr>
        <w:top w:val="none" w:sz="0" w:space="0" w:color="auto"/>
        <w:left w:val="none" w:sz="0" w:space="0" w:color="auto"/>
        <w:bottom w:val="none" w:sz="0" w:space="0" w:color="auto"/>
        <w:right w:val="none" w:sz="0" w:space="0" w:color="auto"/>
      </w:divBdr>
    </w:div>
    <w:div w:id="1167359250">
      <w:bodyDiv w:val="1"/>
      <w:marLeft w:val="0"/>
      <w:marRight w:val="0"/>
      <w:marTop w:val="0"/>
      <w:marBottom w:val="0"/>
      <w:divBdr>
        <w:top w:val="none" w:sz="0" w:space="0" w:color="auto"/>
        <w:left w:val="none" w:sz="0" w:space="0" w:color="auto"/>
        <w:bottom w:val="none" w:sz="0" w:space="0" w:color="auto"/>
        <w:right w:val="none" w:sz="0" w:space="0" w:color="auto"/>
      </w:divBdr>
    </w:div>
    <w:div w:id="1177620458">
      <w:bodyDiv w:val="1"/>
      <w:marLeft w:val="0"/>
      <w:marRight w:val="0"/>
      <w:marTop w:val="0"/>
      <w:marBottom w:val="0"/>
      <w:divBdr>
        <w:top w:val="none" w:sz="0" w:space="0" w:color="auto"/>
        <w:left w:val="none" w:sz="0" w:space="0" w:color="auto"/>
        <w:bottom w:val="none" w:sz="0" w:space="0" w:color="auto"/>
        <w:right w:val="none" w:sz="0" w:space="0" w:color="auto"/>
      </w:divBdr>
    </w:div>
    <w:div w:id="1183545328">
      <w:bodyDiv w:val="1"/>
      <w:marLeft w:val="0"/>
      <w:marRight w:val="0"/>
      <w:marTop w:val="0"/>
      <w:marBottom w:val="0"/>
      <w:divBdr>
        <w:top w:val="none" w:sz="0" w:space="0" w:color="auto"/>
        <w:left w:val="none" w:sz="0" w:space="0" w:color="auto"/>
        <w:bottom w:val="none" w:sz="0" w:space="0" w:color="auto"/>
        <w:right w:val="none" w:sz="0" w:space="0" w:color="auto"/>
      </w:divBdr>
    </w:div>
    <w:div w:id="1187869878">
      <w:bodyDiv w:val="1"/>
      <w:marLeft w:val="0"/>
      <w:marRight w:val="0"/>
      <w:marTop w:val="0"/>
      <w:marBottom w:val="0"/>
      <w:divBdr>
        <w:top w:val="none" w:sz="0" w:space="0" w:color="auto"/>
        <w:left w:val="none" w:sz="0" w:space="0" w:color="auto"/>
        <w:bottom w:val="none" w:sz="0" w:space="0" w:color="auto"/>
        <w:right w:val="none" w:sz="0" w:space="0" w:color="auto"/>
      </w:divBdr>
    </w:div>
    <w:div w:id="1198588356">
      <w:bodyDiv w:val="1"/>
      <w:marLeft w:val="0"/>
      <w:marRight w:val="0"/>
      <w:marTop w:val="0"/>
      <w:marBottom w:val="0"/>
      <w:divBdr>
        <w:top w:val="none" w:sz="0" w:space="0" w:color="auto"/>
        <w:left w:val="none" w:sz="0" w:space="0" w:color="auto"/>
        <w:bottom w:val="none" w:sz="0" w:space="0" w:color="auto"/>
        <w:right w:val="none" w:sz="0" w:space="0" w:color="auto"/>
      </w:divBdr>
    </w:div>
    <w:div w:id="1202743812">
      <w:bodyDiv w:val="1"/>
      <w:marLeft w:val="0"/>
      <w:marRight w:val="0"/>
      <w:marTop w:val="0"/>
      <w:marBottom w:val="0"/>
      <w:divBdr>
        <w:top w:val="none" w:sz="0" w:space="0" w:color="auto"/>
        <w:left w:val="none" w:sz="0" w:space="0" w:color="auto"/>
        <w:bottom w:val="none" w:sz="0" w:space="0" w:color="auto"/>
        <w:right w:val="none" w:sz="0" w:space="0" w:color="auto"/>
      </w:divBdr>
    </w:div>
    <w:div w:id="1214850494">
      <w:bodyDiv w:val="1"/>
      <w:marLeft w:val="0"/>
      <w:marRight w:val="0"/>
      <w:marTop w:val="0"/>
      <w:marBottom w:val="0"/>
      <w:divBdr>
        <w:top w:val="none" w:sz="0" w:space="0" w:color="auto"/>
        <w:left w:val="none" w:sz="0" w:space="0" w:color="auto"/>
        <w:bottom w:val="none" w:sz="0" w:space="0" w:color="auto"/>
        <w:right w:val="none" w:sz="0" w:space="0" w:color="auto"/>
      </w:divBdr>
    </w:div>
    <w:div w:id="1225412760">
      <w:bodyDiv w:val="1"/>
      <w:marLeft w:val="0"/>
      <w:marRight w:val="0"/>
      <w:marTop w:val="0"/>
      <w:marBottom w:val="0"/>
      <w:divBdr>
        <w:top w:val="none" w:sz="0" w:space="0" w:color="auto"/>
        <w:left w:val="none" w:sz="0" w:space="0" w:color="auto"/>
        <w:bottom w:val="none" w:sz="0" w:space="0" w:color="auto"/>
        <w:right w:val="none" w:sz="0" w:space="0" w:color="auto"/>
      </w:divBdr>
    </w:div>
    <w:div w:id="1225720987">
      <w:bodyDiv w:val="1"/>
      <w:marLeft w:val="0"/>
      <w:marRight w:val="0"/>
      <w:marTop w:val="0"/>
      <w:marBottom w:val="0"/>
      <w:divBdr>
        <w:top w:val="none" w:sz="0" w:space="0" w:color="auto"/>
        <w:left w:val="none" w:sz="0" w:space="0" w:color="auto"/>
        <w:bottom w:val="none" w:sz="0" w:space="0" w:color="auto"/>
        <w:right w:val="none" w:sz="0" w:space="0" w:color="auto"/>
      </w:divBdr>
    </w:div>
    <w:div w:id="1226136501">
      <w:bodyDiv w:val="1"/>
      <w:marLeft w:val="0"/>
      <w:marRight w:val="0"/>
      <w:marTop w:val="0"/>
      <w:marBottom w:val="0"/>
      <w:divBdr>
        <w:top w:val="none" w:sz="0" w:space="0" w:color="auto"/>
        <w:left w:val="none" w:sz="0" w:space="0" w:color="auto"/>
        <w:bottom w:val="none" w:sz="0" w:space="0" w:color="auto"/>
        <w:right w:val="none" w:sz="0" w:space="0" w:color="auto"/>
      </w:divBdr>
    </w:div>
    <w:div w:id="1228607281">
      <w:bodyDiv w:val="1"/>
      <w:marLeft w:val="0"/>
      <w:marRight w:val="0"/>
      <w:marTop w:val="0"/>
      <w:marBottom w:val="0"/>
      <w:divBdr>
        <w:top w:val="none" w:sz="0" w:space="0" w:color="auto"/>
        <w:left w:val="none" w:sz="0" w:space="0" w:color="auto"/>
        <w:bottom w:val="none" w:sz="0" w:space="0" w:color="auto"/>
        <w:right w:val="none" w:sz="0" w:space="0" w:color="auto"/>
      </w:divBdr>
    </w:div>
    <w:div w:id="1229536615">
      <w:bodyDiv w:val="1"/>
      <w:marLeft w:val="0"/>
      <w:marRight w:val="0"/>
      <w:marTop w:val="0"/>
      <w:marBottom w:val="0"/>
      <w:divBdr>
        <w:top w:val="none" w:sz="0" w:space="0" w:color="auto"/>
        <w:left w:val="none" w:sz="0" w:space="0" w:color="auto"/>
        <w:bottom w:val="none" w:sz="0" w:space="0" w:color="auto"/>
        <w:right w:val="none" w:sz="0" w:space="0" w:color="auto"/>
      </w:divBdr>
    </w:div>
    <w:div w:id="1236281913">
      <w:bodyDiv w:val="1"/>
      <w:marLeft w:val="0"/>
      <w:marRight w:val="0"/>
      <w:marTop w:val="0"/>
      <w:marBottom w:val="0"/>
      <w:divBdr>
        <w:top w:val="none" w:sz="0" w:space="0" w:color="auto"/>
        <w:left w:val="none" w:sz="0" w:space="0" w:color="auto"/>
        <w:bottom w:val="none" w:sz="0" w:space="0" w:color="auto"/>
        <w:right w:val="none" w:sz="0" w:space="0" w:color="auto"/>
      </w:divBdr>
    </w:div>
    <w:div w:id="1254817829">
      <w:bodyDiv w:val="1"/>
      <w:marLeft w:val="0"/>
      <w:marRight w:val="0"/>
      <w:marTop w:val="0"/>
      <w:marBottom w:val="0"/>
      <w:divBdr>
        <w:top w:val="none" w:sz="0" w:space="0" w:color="auto"/>
        <w:left w:val="none" w:sz="0" w:space="0" w:color="auto"/>
        <w:bottom w:val="none" w:sz="0" w:space="0" w:color="auto"/>
        <w:right w:val="none" w:sz="0" w:space="0" w:color="auto"/>
      </w:divBdr>
    </w:div>
    <w:div w:id="1266959449">
      <w:bodyDiv w:val="1"/>
      <w:marLeft w:val="0"/>
      <w:marRight w:val="0"/>
      <w:marTop w:val="0"/>
      <w:marBottom w:val="0"/>
      <w:divBdr>
        <w:top w:val="none" w:sz="0" w:space="0" w:color="auto"/>
        <w:left w:val="none" w:sz="0" w:space="0" w:color="auto"/>
        <w:bottom w:val="none" w:sz="0" w:space="0" w:color="auto"/>
        <w:right w:val="none" w:sz="0" w:space="0" w:color="auto"/>
      </w:divBdr>
    </w:div>
    <w:div w:id="1334452852">
      <w:bodyDiv w:val="1"/>
      <w:marLeft w:val="0"/>
      <w:marRight w:val="0"/>
      <w:marTop w:val="0"/>
      <w:marBottom w:val="0"/>
      <w:divBdr>
        <w:top w:val="none" w:sz="0" w:space="0" w:color="auto"/>
        <w:left w:val="none" w:sz="0" w:space="0" w:color="auto"/>
        <w:bottom w:val="none" w:sz="0" w:space="0" w:color="auto"/>
        <w:right w:val="none" w:sz="0" w:space="0" w:color="auto"/>
      </w:divBdr>
    </w:div>
    <w:div w:id="1341396827">
      <w:bodyDiv w:val="1"/>
      <w:marLeft w:val="0"/>
      <w:marRight w:val="0"/>
      <w:marTop w:val="0"/>
      <w:marBottom w:val="0"/>
      <w:divBdr>
        <w:top w:val="none" w:sz="0" w:space="0" w:color="auto"/>
        <w:left w:val="none" w:sz="0" w:space="0" w:color="auto"/>
        <w:bottom w:val="none" w:sz="0" w:space="0" w:color="auto"/>
        <w:right w:val="none" w:sz="0" w:space="0" w:color="auto"/>
      </w:divBdr>
    </w:div>
    <w:div w:id="1358581150">
      <w:bodyDiv w:val="1"/>
      <w:marLeft w:val="0"/>
      <w:marRight w:val="0"/>
      <w:marTop w:val="0"/>
      <w:marBottom w:val="0"/>
      <w:divBdr>
        <w:top w:val="none" w:sz="0" w:space="0" w:color="auto"/>
        <w:left w:val="none" w:sz="0" w:space="0" w:color="auto"/>
        <w:bottom w:val="none" w:sz="0" w:space="0" w:color="auto"/>
        <w:right w:val="none" w:sz="0" w:space="0" w:color="auto"/>
      </w:divBdr>
    </w:div>
    <w:div w:id="1395664546">
      <w:bodyDiv w:val="1"/>
      <w:marLeft w:val="0"/>
      <w:marRight w:val="0"/>
      <w:marTop w:val="0"/>
      <w:marBottom w:val="0"/>
      <w:divBdr>
        <w:top w:val="none" w:sz="0" w:space="0" w:color="auto"/>
        <w:left w:val="none" w:sz="0" w:space="0" w:color="auto"/>
        <w:bottom w:val="none" w:sz="0" w:space="0" w:color="auto"/>
        <w:right w:val="none" w:sz="0" w:space="0" w:color="auto"/>
      </w:divBdr>
    </w:div>
    <w:div w:id="1420250087">
      <w:bodyDiv w:val="1"/>
      <w:marLeft w:val="0"/>
      <w:marRight w:val="0"/>
      <w:marTop w:val="0"/>
      <w:marBottom w:val="0"/>
      <w:divBdr>
        <w:top w:val="none" w:sz="0" w:space="0" w:color="auto"/>
        <w:left w:val="none" w:sz="0" w:space="0" w:color="auto"/>
        <w:bottom w:val="none" w:sz="0" w:space="0" w:color="auto"/>
        <w:right w:val="none" w:sz="0" w:space="0" w:color="auto"/>
      </w:divBdr>
    </w:div>
    <w:div w:id="1429302925">
      <w:bodyDiv w:val="1"/>
      <w:marLeft w:val="0"/>
      <w:marRight w:val="0"/>
      <w:marTop w:val="0"/>
      <w:marBottom w:val="0"/>
      <w:divBdr>
        <w:top w:val="none" w:sz="0" w:space="0" w:color="auto"/>
        <w:left w:val="none" w:sz="0" w:space="0" w:color="auto"/>
        <w:bottom w:val="none" w:sz="0" w:space="0" w:color="auto"/>
        <w:right w:val="none" w:sz="0" w:space="0" w:color="auto"/>
      </w:divBdr>
    </w:div>
    <w:div w:id="1434664839">
      <w:bodyDiv w:val="1"/>
      <w:marLeft w:val="0"/>
      <w:marRight w:val="0"/>
      <w:marTop w:val="0"/>
      <w:marBottom w:val="0"/>
      <w:divBdr>
        <w:top w:val="none" w:sz="0" w:space="0" w:color="auto"/>
        <w:left w:val="none" w:sz="0" w:space="0" w:color="auto"/>
        <w:bottom w:val="none" w:sz="0" w:space="0" w:color="auto"/>
        <w:right w:val="none" w:sz="0" w:space="0" w:color="auto"/>
      </w:divBdr>
    </w:div>
    <w:div w:id="1444182343">
      <w:bodyDiv w:val="1"/>
      <w:marLeft w:val="0"/>
      <w:marRight w:val="0"/>
      <w:marTop w:val="0"/>
      <w:marBottom w:val="0"/>
      <w:divBdr>
        <w:top w:val="none" w:sz="0" w:space="0" w:color="auto"/>
        <w:left w:val="none" w:sz="0" w:space="0" w:color="auto"/>
        <w:bottom w:val="none" w:sz="0" w:space="0" w:color="auto"/>
        <w:right w:val="none" w:sz="0" w:space="0" w:color="auto"/>
      </w:divBdr>
    </w:div>
    <w:div w:id="1476609023">
      <w:bodyDiv w:val="1"/>
      <w:marLeft w:val="0"/>
      <w:marRight w:val="0"/>
      <w:marTop w:val="0"/>
      <w:marBottom w:val="0"/>
      <w:divBdr>
        <w:top w:val="none" w:sz="0" w:space="0" w:color="auto"/>
        <w:left w:val="none" w:sz="0" w:space="0" w:color="auto"/>
        <w:bottom w:val="none" w:sz="0" w:space="0" w:color="auto"/>
        <w:right w:val="none" w:sz="0" w:space="0" w:color="auto"/>
      </w:divBdr>
    </w:div>
    <w:div w:id="1477723697">
      <w:bodyDiv w:val="1"/>
      <w:marLeft w:val="0"/>
      <w:marRight w:val="0"/>
      <w:marTop w:val="0"/>
      <w:marBottom w:val="0"/>
      <w:divBdr>
        <w:top w:val="none" w:sz="0" w:space="0" w:color="auto"/>
        <w:left w:val="none" w:sz="0" w:space="0" w:color="auto"/>
        <w:bottom w:val="none" w:sz="0" w:space="0" w:color="auto"/>
        <w:right w:val="none" w:sz="0" w:space="0" w:color="auto"/>
      </w:divBdr>
    </w:div>
    <w:div w:id="1486966766">
      <w:bodyDiv w:val="1"/>
      <w:marLeft w:val="0"/>
      <w:marRight w:val="0"/>
      <w:marTop w:val="0"/>
      <w:marBottom w:val="0"/>
      <w:divBdr>
        <w:top w:val="none" w:sz="0" w:space="0" w:color="auto"/>
        <w:left w:val="none" w:sz="0" w:space="0" w:color="auto"/>
        <w:bottom w:val="none" w:sz="0" w:space="0" w:color="auto"/>
        <w:right w:val="none" w:sz="0" w:space="0" w:color="auto"/>
      </w:divBdr>
    </w:div>
    <w:div w:id="1503818243">
      <w:bodyDiv w:val="1"/>
      <w:marLeft w:val="0"/>
      <w:marRight w:val="0"/>
      <w:marTop w:val="0"/>
      <w:marBottom w:val="0"/>
      <w:divBdr>
        <w:top w:val="none" w:sz="0" w:space="0" w:color="auto"/>
        <w:left w:val="none" w:sz="0" w:space="0" w:color="auto"/>
        <w:bottom w:val="none" w:sz="0" w:space="0" w:color="auto"/>
        <w:right w:val="none" w:sz="0" w:space="0" w:color="auto"/>
      </w:divBdr>
    </w:div>
    <w:div w:id="1514421847">
      <w:bodyDiv w:val="1"/>
      <w:marLeft w:val="0"/>
      <w:marRight w:val="0"/>
      <w:marTop w:val="0"/>
      <w:marBottom w:val="0"/>
      <w:divBdr>
        <w:top w:val="none" w:sz="0" w:space="0" w:color="auto"/>
        <w:left w:val="none" w:sz="0" w:space="0" w:color="auto"/>
        <w:bottom w:val="none" w:sz="0" w:space="0" w:color="auto"/>
        <w:right w:val="none" w:sz="0" w:space="0" w:color="auto"/>
      </w:divBdr>
    </w:div>
    <w:div w:id="1514610119">
      <w:bodyDiv w:val="1"/>
      <w:marLeft w:val="0"/>
      <w:marRight w:val="0"/>
      <w:marTop w:val="0"/>
      <w:marBottom w:val="0"/>
      <w:divBdr>
        <w:top w:val="none" w:sz="0" w:space="0" w:color="auto"/>
        <w:left w:val="none" w:sz="0" w:space="0" w:color="auto"/>
        <w:bottom w:val="none" w:sz="0" w:space="0" w:color="auto"/>
        <w:right w:val="none" w:sz="0" w:space="0" w:color="auto"/>
      </w:divBdr>
    </w:div>
    <w:div w:id="1520317779">
      <w:bodyDiv w:val="1"/>
      <w:marLeft w:val="0"/>
      <w:marRight w:val="0"/>
      <w:marTop w:val="0"/>
      <w:marBottom w:val="0"/>
      <w:divBdr>
        <w:top w:val="none" w:sz="0" w:space="0" w:color="auto"/>
        <w:left w:val="none" w:sz="0" w:space="0" w:color="auto"/>
        <w:bottom w:val="none" w:sz="0" w:space="0" w:color="auto"/>
        <w:right w:val="none" w:sz="0" w:space="0" w:color="auto"/>
      </w:divBdr>
    </w:div>
    <w:div w:id="1547334231">
      <w:bodyDiv w:val="1"/>
      <w:marLeft w:val="0"/>
      <w:marRight w:val="0"/>
      <w:marTop w:val="0"/>
      <w:marBottom w:val="0"/>
      <w:divBdr>
        <w:top w:val="none" w:sz="0" w:space="0" w:color="auto"/>
        <w:left w:val="none" w:sz="0" w:space="0" w:color="auto"/>
        <w:bottom w:val="none" w:sz="0" w:space="0" w:color="auto"/>
        <w:right w:val="none" w:sz="0" w:space="0" w:color="auto"/>
      </w:divBdr>
    </w:div>
    <w:div w:id="1547643646">
      <w:bodyDiv w:val="1"/>
      <w:marLeft w:val="0"/>
      <w:marRight w:val="0"/>
      <w:marTop w:val="0"/>
      <w:marBottom w:val="0"/>
      <w:divBdr>
        <w:top w:val="none" w:sz="0" w:space="0" w:color="auto"/>
        <w:left w:val="none" w:sz="0" w:space="0" w:color="auto"/>
        <w:bottom w:val="none" w:sz="0" w:space="0" w:color="auto"/>
        <w:right w:val="none" w:sz="0" w:space="0" w:color="auto"/>
      </w:divBdr>
    </w:div>
    <w:div w:id="1581402883">
      <w:bodyDiv w:val="1"/>
      <w:marLeft w:val="0"/>
      <w:marRight w:val="0"/>
      <w:marTop w:val="0"/>
      <w:marBottom w:val="0"/>
      <w:divBdr>
        <w:top w:val="none" w:sz="0" w:space="0" w:color="auto"/>
        <w:left w:val="none" w:sz="0" w:space="0" w:color="auto"/>
        <w:bottom w:val="none" w:sz="0" w:space="0" w:color="auto"/>
        <w:right w:val="none" w:sz="0" w:space="0" w:color="auto"/>
      </w:divBdr>
    </w:div>
    <w:div w:id="1590195593">
      <w:bodyDiv w:val="1"/>
      <w:marLeft w:val="0"/>
      <w:marRight w:val="0"/>
      <w:marTop w:val="0"/>
      <w:marBottom w:val="0"/>
      <w:divBdr>
        <w:top w:val="none" w:sz="0" w:space="0" w:color="auto"/>
        <w:left w:val="none" w:sz="0" w:space="0" w:color="auto"/>
        <w:bottom w:val="none" w:sz="0" w:space="0" w:color="auto"/>
        <w:right w:val="none" w:sz="0" w:space="0" w:color="auto"/>
      </w:divBdr>
    </w:div>
    <w:div w:id="1591041131">
      <w:bodyDiv w:val="1"/>
      <w:marLeft w:val="0"/>
      <w:marRight w:val="0"/>
      <w:marTop w:val="0"/>
      <w:marBottom w:val="0"/>
      <w:divBdr>
        <w:top w:val="none" w:sz="0" w:space="0" w:color="auto"/>
        <w:left w:val="none" w:sz="0" w:space="0" w:color="auto"/>
        <w:bottom w:val="none" w:sz="0" w:space="0" w:color="auto"/>
        <w:right w:val="none" w:sz="0" w:space="0" w:color="auto"/>
      </w:divBdr>
    </w:div>
    <w:div w:id="1598489505">
      <w:bodyDiv w:val="1"/>
      <w:marLeft w:val="0"/>
      <w:marRight w:val="0"/>
      <w:marTop w:val="0"/>
      <w:marBottom w:val="0"/>
      <w:divBdr>
        <w:top w:val="none" w:sz="0" w:space="0" w:color="auto"/>
        <w:left w:val="none" w:sz="0" w:space="0" w:color="auto"/>
        <w:bottom w:val="none" w:sz="0" w:space="0" w:color="auto"/>
        <w:right w:val="none" w:sz="0" w:space="0" w:color="auto"/>
      </w:divBdr>
    </w:div>
    <w:div w:id="1616255677">
      <w:bodyDiv w:val="1"/>
      <w:marLeft w:val="0"/>
      <w:marRight w:val="0"/>
      <w:marTop w:val="0"/>
      <w:marBottom w:val="0"/>
      <w:divBdr>
        <w:top w:val="none" w:sz="0" w:space="0" w:color="auto"/>
        <w:left w:val="none" w:sz="0" w:space="0" w:color="auto"/>
        <w:bottom w:val="none" w:sz="0" w:space="0" w:color="auto"/>
        <w:right w:val="none" w:sz="0" w:space="0" w:color="auto"/>
      </w:divBdr>
    </w:div>
    <w:div w:id="1619800559">
      <w:bodyDiv w:val="1"/>
      <w:marLeft w:val="0"/>
      <w:marRight w:val="0"/>
      <w:marTop w:val="0"/>
      <w:marBottom w:val="0"/>
      <w:divBdr>
        <w:top w:val="none" w:sz="0" w:space="0" w:color="auto"/>
        <w:left w:val="none" w:sz="0" w:space="0" w:color="auto"/>
        <w:bottom w:val="none" w:sz="0" w:space="0" w:color="auto"/>
        <w:right w:val="none" w:sz="0" w:space="0" w:color="auto"/>
      </w:divBdr>
    </w:div>
    <w:div w:id="1622882824">
      <w:bodyDiv w:val="1"/>
      <w:marLeft w:val="0"/>
      <w:marRight w:val="0"/>
      <w:marTop w:val="0"/>
      <w:marBottom w:val="0"/>
      <w:divBdr>
        <w:top w:val="none" w:sz="0" w:space="0" w:color="auto"/>
        <w:left w:val="none" w:sz="0" w:space="0" w:color="auto"/>
        <w:bottom w:val="none" w:sz="0" w:space="0" w:color="auto"/>
        <w:right w:val="none" w:sz="0" w:space="0" w:color="auto"/>
      </w:divBdr>
    </w:div>
    <w:div w:id="1636175742">
      <w:bodyDiv w:val="1"/>
      <w:marLeft w:val="0"/>
      <w:marRight w:val="0"/>
      <w:marTop w:val="0"/>
      <w:marBottom w:val="0"/>
      <w:divBdr>
        <w:top w:val="none" w:sz="0" w:space="0" w:color="auto"/>
        <w:left w:val="none" w:sz="0" w:space="0" w:color="auto"/>
        <w:bottom w:val="none" w:sz="0" w:space="0" w:color="auto"/>
        <w:right w:val="none" w:sz="0" w:space="0" w:color="auto"/>
      </w:divBdr>
    </w:div>
    <w:div w:id="1642878558">
      <w:bodyDiv w:val="1"/>
      <w:marLeft w:val="0"/>
      <w:marRight w:val="0"/>
      <w:marTop w:val="0"/>
      <w:marBottom w:val="0"/>
      <w:divBdr>
        <w:top w:val="none" w:sz="0" w:space="0" w:color="auto"/>
        <w:left w:val="none" w:sz="0" w:space="0" w:color="auto"/>
        <w:bottom w:val="none" w:sz="0" w:space="0" w:color="auto"/>
        <w:right w:val="none" w:sz="0" w:space="0" w:color="auto"/>
      </w:divBdr>
    </w:div>
    <w:div w:id="1645037433">
      <w:bodyDiv w:val="1"/>
      <w:marLeft w:val="0"/>
      <w:marRight w:val="0"/>
      <w:marTop w:val="0"/>
      <w:marBottom w:val="0"/>
      <w:divBdr>
        <w:top w:val="none" w:sz="0" w:space="0" w:color="auto"/>
        <w:left w:val="none" w:sz="0" w:space="0" w:color="auto"/>
        <w:bottom w:val="none" w:sz="0" w:space="0" w:color="auto"/>
        <w:right w:val="none" w:sz="0" w:space="0" w:color="auto"/>
      </w:divBdr>
    </w:div>
    <w:div w:id="1647969686">
      <w:bodyDiv w:val="1"/>
      <w:marLeft w:val="0"/>
      <w:marRight w:val="0"/>
      <w:marTop w:val="0"/>
      <w:marBottom w:val="0"/>
      <w:divBdr>
        <w:top w:val="none" w:sz="0" w:space="0" w:color="auto"/>
        <w:left w:val="none" w:sz="0" w:space="0" w:color="auto"/>
        <w:bottom w:val="none" w:sz="0" w:space="0" w:color="auto"/>
        <w:right w:val="none" w:sz="0" w:space="0" w:color="auto"/>
      </w:divBdr>
    </w:div>
    <w:div w:id="1667707093">
      <w:bodyDiv w:val="1"/>
      <w:marLeft w:val="0"/>
      <w:marRight w:val="0"/>
      <w:marTop w:val="0"/>
      <w:marBottom w:val="0"/>
      <w:divBdr>
        <w:top w:val="none" w:sz="0" w:space="0" w:color="auto"/>
        <w:left w:val="none" w:sz="0" w:space="0" w:color="auto"/>
        <w:bottom w:val="none" w:sz="0" w:space="0" w:color="auto"/>
        <w:right w:val="none" w:sz="0" w:space="0" w:color="auto"/>
      </w:divBdr>
    </w:div>
    <w:div w:id="1694648901">
      <w:bodyDiv w:val="1"/>
      <w:marLeft w:val="0"/>
      <w:marRight w:val="0"/>
      <w:marTop w:val="0"/>
      <w:marBottom w:val="0"/>
      <w:divBdr>
        <w:top w:val="none" w:sz="0" w:space="0" w:color="auto"/>
        <w:left w:val="none" w:sz="0" w:space="0" w:color="auto"/>
        <w:bottom w:val="none" w:sz="0" w:space="0" w:color="auto"/>
        <w:right w:val="none" w:sz="0" w:space="0" w:color="auto"/>
      </w:divBdr>
    </w:div>
    <w:div w:id="1722366690">
      <w:bodyDiv w:val="1"/>
      <w:marLeft w:val="0"/>
      <w:marRight w:val="0"/>
      <w:marTop w:val="0"/>
      <w:marBottom w:val="0"/>
      <w:divBdr>
        <w:top w:val="none" w:sz="0" w:space="0" w:color="auto"/>
        <w:left w:val="none" w:sz="0" w:space="0" w:color="auto"/>
        <w:bottom w:val="none" w:sz="0" w:space="0" w:color="auto"/>
        <w:right w:val="none" w:sz="0" w:space="0" w:color="auto"/>
      </w:divBdr>
    </w:div>
    <w:div w:id="1726174421">
      <w:bodyDiv w:val="1"/>
      <w:marLeft w:val="0"/>
      <w:marRight w:val="0"/>
      <w:marTop w:val="0"/>
      <w:marBottom w:val="0"/>
      <w:divBdr>
        <w:top w:val="none" w:sz="0" w:space="0" w:color="auto"/>
        <w:left w:val="none" w:sz="0" w:space="0" w:color="auto"/>
        <w:bottom w:val="none" w:sz="0" w:space="0" w:color="auto"/>
        <w:right w:val="none" w:sz="0" w:space="0" w:color="auto"/>
      </w:divBdr>
    </w:div>
    <w:div w:id="1728604079">
      <w:bodyDiv w:val="1"/>
      <w:marLeft w:val="0"/>
      <w:marRight w:val="0"/>
      <w:marTop w:val="0"/>
      <w:marBottom w:val="0"/>
      <w:divBdr>
        <w:top w:val="none" w:sz="0" w:space="0" w:color="auto"/>
        <w:left w:val="none" w:sz="0" w:space="0" w:color="auto"/>
        <w:bottom w:val="none" w:sz="0" w:space="0" w:color="auto"/>
        <w:right w:val="none" w:sz="0" w:space="0" w:color="auto"/>
      </w:divBdr>
    </w:div>
    <w:div w:id="1735466018">
      <w:bodyDiv w:val="1"/>
      <w:marLeft w:val="0"/>
      <w:marRight w:val="0"/>
      <w:marTop w:val="0"/>
      <w:marBottom w:val="0"/>
      <w:divBdr>
        <w:top w:val="none" w:sz="0" w:space="0" w:color="auto"/>
        <w:left w:val="none" w:sz="0" w:space="0" w:color="auto"/>
        <w:bottom w:val="none" w:sz="0" w:space="0" w:color="auto"/>
        <w:right w:val="none" w:sz="0" w:space="0" w:color="auto"/>
      </w:divBdr>
    </w:div>
    <w:div w:id="1742169046">
      <w:bodyDiv w:val="1"/>
      <w:marLeft w:val="0"/>
      <w:marRight w:val="0"/>
      <w:marTop w:val="0"/>
      <w:marBottom w:val="0"/>
      <w:divBdr>
        <w:top w:val="none" w:sz="0" w:space="0" w:color="auto"/>
        <w:left w:val="none" w:sz="0" w:space="0" w:color="auto"/>
        <w:bottom w:val="none" w:sz="0" w:space="0" w:color="auto"/>
        <w:right w:val="none" w:sz="0" w:space="0" w:color="auto"/>
      </w:divBdr>
    </w:div>
    <w:div w:id="1747264326">
      <w:bodyDiv w:val="1"/>
      <w:marLeft w:val="0"/>
      <w:marRight w:val="0"/>
      <w:marTop w:val="0"/>
      <w:marBottom w:val="0"/>
      <w:divBdr>
        <w:top w:val="none" w:sz="0" w:space="0" w:color="auto"/>
        <w:left w:val="none" w:sz="0" w:space="0" w:color="auto"/>
        <w:bottom w:val="none" w:sz="0" w:space="0" w:color="auto"/>
        <w:right w:val="none" w:sz="0" w:space="0" w:color="auto"/>
      </w:divBdr>
    </w:div>
    <w:div w:id="1747649485">
      <w:bodyDiv w:val="1"/>
      <w:marLeft w:val="0"/>
      <w:marRight w:val="0"/>
      <w:marTop w:val="0"/>
      <w:marBottom w:val="0"/>
      <w:divBdr>
        <w:top w:val="none" w:sz="0" w:space="0" w:color="auto"/>
        <w:left w:val="none" w:sz="0" w:space="0" w:color="auto"/>
        <w:bottom w:val="none" w:sz="0" w:space="0" w:color="auto"/>
        <w:right w:val="none" w:sz="0" w:space="0" w:color="auto"/>
      </w:divBdr>
    </w:div>
    <w:div w:id="1762338654">
      <w:bodyDiv w:val="1"/>
      <w:marLeft w:val="0"/>
      <w:marRight w:val="0"/>
      <w:marTop w:val="0"/>
      <w:marBottom w:val="0"/>
      <w:divBdr>
        <w:top w:val="none" w:sz="0" w:space="0" w:color="auto"/>
        <w:left w:val="none" w:sz="0" w:space="0" w:color="auto"/>
        <w:bottom w:val="none" w:sz="0" w:space="0" w:color="auto"/>
        <w:right w:val="none" w:sz="0" w:space="0" w:color="auto"/>
      </w:divBdr>
    </w:div>
    <w:div w:id="1771008739">
      <w:bodyDiv w:val="1"/>
      <w:marLeft w:val="0"/>
      <w:marRight w:val="0"/>
      <w:marTop w:val="0"/>
      <w:marBottom w:val="0"/>
      <w:divBdr>
        <w:top w:val="none" w:sz="0" w:space="0" w:color="auto"/>
        <w:left w:val="none" w:sz="0" w:space="0" w:color="auto"/>
        <w:bottom w:val="none" w:sz="0" w:space="0" w:color="auto"/>
        <w:right w:val="none" w:sz="0" w:space="0" w:color="auto"/>
      </w:divBdr>
    </w:div>
    <w:div w:id="1771775109">
      <w:bodyDiv w:val="1"/>
      <w:marLeft w:val="0"/>
      <w:marRight w:val="0"/>
      <w:marTop w:val="0"/>
      <w:marBottom w:val="0"/>
      <w:divBdr>
        <w:top w:val="none" w:sz="0" w:space="0" w:color="auto"/>
        <w:left w:val="none" w:sz="0" w:space="0" w:color="auto"/>
        <w:bottom w:val="none" w:sz="0" w:space="0" w:color="auto"/>
        <w:right w:val="none" w:sz="0" w:space="0" w:color="auto"/>
      </w:divBdr>
    </w:div>
    <w:div w:id="1772044308">
      <w:bodyDiv w:val="1"/>
      <w:marLeft w:val="0"/>
      <w:marRight w:val="0"/>
      <w:marTop w:val="0"/>
      <w:marBottom w:val="0"/>
      <w:divBdr>
        <w:top w:val="none" w:sz="0" w:space="0" w:color="auto"/>
        <w:left w:val="none" w:sz="0" w:space="0" w:color="auto"/>
        <w:bottom w:val="none" w:sz="0" w:space="0" w:color="auto"/>
        <w:right w:val="none" w:sz="0" w:space="0" w:color="auto"/>
      </w:divBdr>
    </w:div>
    <w:div w:id="1792703704">
      <w:bodyDiv w:val="1"/>
      <w:marLeft w:val="0"/>
      <w:marRight w:val="0"/>
      <w:marTop w:val="0"/>
      <w:marBottom w:val="0"/>
      <w:divBdr>
        <w:top w:val="none" w:sz="0" w:space="0" w:color="auto"/>
        <w:left w:val="none" w:sz="0" w:space="0" w:color="auto"/>
        <w:bottom w:val="none" w:sz="0" w:space="0" w:color="auto"/>
        <w:right w:val="none" w:sz="0" w:space="0" w:color="auto"/>
      </w:divBdr>
    </w:div>
    <w:div w:id="1800107389">
      <w:bodyDiv w:val="1"/>
      <w:marLeft w:val="0"/>
      <w:marRight w:val="0"/>
      <w:marTop w:val="0"/>
      <w:marBottom w:val="0"/>
      <w:divBdr>
        <w:top w:val="none" w:sz="0" w:space="0" w:color="auto"/>
        <w:left w:val="none" w:sz="0" w:space="0" w:color="auto"/>
        <w:bottom w:val="none" w:sz="0" w:space="0" w:color="auto"/>
        <w:right w:val="none" w:sz="0" w:space="0" w:color="auto"/>
      </w:divBdr>
    </w:div>
    <w:div w:id="1801797321">
      <w:bodyDiv w:val="1"/>
      <w:marLeft w:val="0"/>
      <w:marRight w:val="0"/>
      <w:marTop w:val="0"/>
      <w:marBottom w:val="0"/>
      <w:divBdr>
        <w:top w:val="none" w:sz="0" w:space="0" w:color="auto"/>
        <w:left w:val="none" w:sz="0" w:space="0" w:color="auto"/>
        <w:bottom w:val="none" w:sz="0" w:space="0" w:color="auto"/>
        <w:right w:val="none" w:sz="0" w:space="0" w:color="auto"/>
      </w:divBdr>
    </w:div>
    <w:div w:id="1812939903">
      <w:bodyDiv w:val="1"/>
      <w:marLeft w:val="0"/>
      <w:marRight w:val="0"/>
      <w:marTop w:val="0"/>
      <w:marBottom w:val="0"/>
      <w:divBdr>
        <w:top w:val="none" w:sz="0" w:space="0" w:color="auto"/>
        <w:left w:val="none" w:sz="0" w:space="0" w:color="auto"/>
        <w:bottom w:val="none" w:sz="0" w:space="0" w:color="auto"/>
        <w:right w:val="none" w:sz="0" w:space="0" w:color="auto"/>
      </w:divBdr>
    </w:div>
    <w:div w:id="1818648165">
      <w:bodyDiv w:val="1"/>
      <w:marLeft w:val="0"/>
      <w:marRight w:val="0"/>
      <w:marTop w:val="0"/>
      <w:marBottom w:val="0"/>
      <w:divBdr>
        <w:top w:val="none" w:sz="0" w:space="0" w:color="auto"/>
        <w:left w:val="none" w:sz="0" w:space="0" w:color="auto"/>
        <w:bottom w:val="none" w:sz="0" w:space="0" w:color="auto"/>
        <w:right w:val="none" w:sz="0" w:space="0" w:color="auto"/>
      </w:divBdr>
    </w:div>
    <w:div w:id="1830294463">
      <w:bodyDiv w:val="1"/>
      <w:marLeft w:val="0"/>
      <w:marRight w:val="0"/>
      <w:marTop w:val="0"/>
      <w:marBottom w:val="0"/>
      <w:divBdr>
        <w:top w:val="none" w:sz="0" w:space="0" w:color="auto"/>
        <w:left w:val="none" w:sz="0" w:space="0" w:color="auto"/>
        <w:bottom w:val="none" w:sz="0" w:space="0" w:color="auto"/>
        <w:right w:val="none" w:sz="0" w:space="0" w:color="auto"/>
      </w:divBdr>
    </w:div>
    <w:div w:id="1845318256">
      <w:bodyDiv w:val="1"/>
      <w:marLeft w:val="0"/>
      <w:marRight w:val="0"/>
      <w:marTop w:val="0"/>
      <w:marBottom w:val="0"/>
      <w:divBdr>
        <w:top w:val="none" w:sz="0" w:space="0" w:color="auto"/>
        <w:left w:val="none" w:sz="0" w:space="0" w:color="auto"/>
        <w:bottom w:val="none" w:sz="0" w:space="0" w:color="auto"/>
        <w:right w:val="none" w:sz="0" w:space="0" w:color="auto"/>
      </w:divBdr>
    </w:div>
    <w:div w:id="1846943515">
      <w:bodyDiv w:val="1"/>
      <w:marLeft w:val="0"/>
      <w:marRight w:val="0"/>
      <w:marTop w:val="0"/>
      <w:marBottom w:val="0"/>
      <w:divBdr>
        <w:top w:val="none" w:sz="0" w:space="0" w:color="auto"/>
        <w:left w:val="none" w:sz="0" w:space="0" w:color="auto"/>
        <w:bottom w:val="none" w:sz="0" w:space="0" w:color="auto"/>
        <w:right w:val="none" w:sz="0" w:space="0" w:color="auto"/>
      </w:divBdr>
    </w:div>
    <w:div w:id="1855921246">
      <w:bodyDiv w:val="1"/>
      <w:marLeft w:val="0"/>
      <w:marRight w:val="0"/>
      <w:marTop w:val="0"/>
      <w:marBottom w:val="0"/>
      <w:divBdr>
        <w:top w:val="none" w:sz="0" w:space="0" w:color="auto"/>
        <w:left w:val="none" w:sz="0" w:space="0" w:color="auto"/>
        <w:bottom w:val="none" w:sz="0" w:space="0" w:color="auto"/>
        <w:right w:val="none" w:sz="0" w:space="0" w:color="auto"/>
      </w:divBdr>
    </w:div>
    <w:div w:id="1865050065">
      <w:bodyDiv w:val="1"/>
      <w:marLeft w:val="0"/>
      <w:marRight w:val="0"/>
      <w:marTop w:val="0"/>
      <w:marBottom w:val="0"/>
      <w:divBdr>
        <w:top w:val="none" w:sz="0" w:space="0" w:color="auto"/>
        <w:left w:val="none" w:sz="0" w:space="0" w:color="auto"/>
        <w:bottom w:val="none" w:sz="0" w:space="0" w:color="auto"/>
        <w:right w:val="none" w:sz="0" w:space="0" w:color="auto"/>
      </w:divBdr>
    </w:div>
    <w:div w:id="1888099360">
      <w:bodyDiv w:val="1"/>
      <w:marLeft w:val="0"/>
      <w:marRight w:val="0"/>
      <w:marTop w:val="0"/>
      <w:marBottom w:val="0"/>
      <w:divBdr>
        <w:top w:val="none" w:sz="0" w:space="0" w:color="auto"/>
        <w:left w:val="none" w:sz="0" w:space="0" w:color="auto"/>
        <w:bottom w:val="none" w:sz="0" w:space="0" w:color="auto"/>
        <w:right w:val="none" w:sz="0" w:space="0" w:color="auto"/>
      </w:divBdr>
    </w:div>
    <w:div w:id="1899897086">
      <w:bodyDiv w:val="1"/>
      <w:marLeft w:val="0"/>
      <w:marRight w:val="0"/>
      <w:marTop w:val="0"/>
      <w:marBottom w:val="0"/>
      <w:divBdr>
        <w:top w:val="none" w:sz="0" w:space="0" w:color="auto"/>
        <w:left w:val="none" w:sz="0" w:space="0" w:color="auto"/>
        <w:bottom w:val="none" w:sz="0" w:space="0" w:color="auto"/>
        <w:right w:val="none" w:sz="0" w:space="0" w:color="auto"/>
      </w:divBdr>
    </w:div>
    <w:div w:id="1913390480">
      <w:bodyDiv w:val="1"/>
      <w:marLeft w:val="0"/>
      <w:marRight w:val="0"/>
      <w:marTop w:val="0"/>
      <w:marBottom w:val="0"/>
      <w:divBdr>
        <w:top w:val="none" w:sz="0" w:space="0" w:color="auto"/>
        <w:left w:val="none" w:sz="0" w:space="0" w:color="auto"/>
        <w:bottom w:val="none" w:sz="0" w:space="0" w:color="auto"/>
        <w:right w:val="none" w:sz="0" w:space="0" w:color="auto"/>
      </w:divBdr>
    </w:div>
    <w:div w:id="1926836493">
      <w:bodyDiv w:val="1"/>
      <w:marLeft w:val="0"/>
      <w:marRight w:val="0"/>
      <w:marTop w:val="0"/>
      <w:marBottom w:val="0"/>
      <w:divBdr>
        <w:top w:val="none" w:sz="0" w:space="0" w:color="auto"/>
        <w:left w:val="none" w:sz="0" w:space="0" w:color="auto"/>
        <w:bottom w:val="none" w:sz="0" w:space="0" w:color="auto"/>
        <w:right w:val="none" w:sz="0" w:space="0" w:color="auto"/>
      </w:divBdr>
    </w:div>
    <w:div w:id="1937057191">
      <w:bodyDiv w:val="1"/>
      <w:marLeft w:val="0"/>
      <w:marRight w:val="0"/>
      <w:marTop w:val="0"/>
      <w:marBottom w:val="0"/>
      <w:divBdr>
        <w:top w:val="none" w:sz="0" w:space="0" w:color="auto"/>
        <w:left w:val="none" w:sz="0" w:space="0" w:color="auto"/>
        <w:bottom w:val="none" w:sz="0" w:space="0" w:color="auto"/>
        <w:right w:val="none" w:sz="0" w:space="0" w:color="auto"/>
      </w:divBdr>
    </w:div>
    <w:div w:id="1938516994">
      <w:bodyDiv w:val="1"/>
      <w:marLeft w:val="0"/>
      <w:marRight w:val="0"/>
      <w:marTop w:val="0"/>
      <w:marBottom w:val="0"/>
      <w:divBdr>
        <w:top w:val="none" w:sz="0" w:space="0" w:color="auto"/>
        <w:left w:val="none" w:sz="0" w:space="0" w:color="auto"/>
        <w:bottom w:val="none" w:sz="0" w:space="0" w:color="auto"/>
        <w:right w:val="none" w:sz="0" w:space="0" w:color="auto"/>
      </w:divBdr>
    </w:div>
    <w:div w:id="1950433915">
      <w:bodyDiv w:val="1"/>
      <w:marLeft w:val="0"/>
      <w:marRight w:val="0"/>
      <w:marTop w:val="0"/>
      <w:marBottom w:val="0"/>
      <w:divBdr>
        <w:top w:val="none" w:sz="0" w:space="0" w:color="auto"/>
        <w:left w:val="none" w:sz="0" w:space="0" w:color="auto"/>
        <w:bottom w:val="none" w:sz="0" w:space="0" w:color="auto"/>
        <w:right w:val="none" w:sz="0" w:space="0" w:color="auto"/>
      </w:divBdr>
    </w:div>
    <w:div w:id="1972246461">
      <w:bodyDiv w:val="1"/>
      <w:marLeft w:val="0"/>
      <w:marRight w:val="0"/>
      <w:marTop w:val="0"/>
      <w:marBottom w:val="0"/>
      <w:divBdr>
        <w:top w:val="none" w:sz="0" w:space="0" w:color="auto"/>
        <w:left w:val="none" w:sz="0" w:space="0" w:color="auto"/>
        <w:bottom w:val="none" w:sz="0" w:space="0" w:color="auto"/>
        <w:right w:val="none" w:sz="0" w:space="0" w:color="auto"/>
      </w:divBdr>
    </w:div>
    <w:div w:id="1984892512">
      <w:bodyDiv w:val="1"/>
      <w:marLeft w:val="0"/>
      <w:marRight w:val="0"/>
      <w:marTop w:val="0"/>
      <w:marBottom w:val="0"/>
      <w:divBdr>
        <w:top w:val="none" w:sz="0" w:space="0" w:color="auto"/>
        <w:left w:val="none" w:sz="0" w:space="0" w:color="auto"/>
        <w:bottom w:val="none" w:sz="0" w:space="0" w:color="auto"/>
        <w:right w:val="none" w:sz="0" w:space="0" w:color="auto"/>
      </w:divBdr>
    </w:div>
    <w:div w:id="2007585112">
      <w:bodyDiv w:val="1"/>
      <w:marLeft w:val="0"/>
      <w:marRight w:val="0"/>
      <w:marTop w:val="0"/>
      <w:marBottom w:val="0"/>
      <w:divBdr>
        <w:top w:val="none" w:sz="0" w:space="0" w:color="auto"/>
        <w:left w:val="none" w:sz="0" w:space="0" w:color="auto"/>
        <w:bottom w:val="none" w:sz="0" w:space="0" w:color="auto"/>
        <w:right w:val="none" w:sz="0" w:space="0" w:color="auto"/>
      </w:divBdr>
    </w:div>
    <w:div w:id="2013022254">
      <w:bodyDiv w:val="1"/>
      <w:marLeft w:val="0"/>
      <w:marRight w:val="0"/>
      <w:marTop w:val="0"/>
      <w:marBottom w:val="0"/>
      <w:divBdr>
        <w:top w:val="none" w:sz="0" w:space="0" w:color="auto"/>
        <w:left w:val="none" w:sz="0" w:space="0" w:color="auto"/>
        <w:bottom w:val="none" w:sz="0" w:space="0" w:color="auto"/>
        <w:right w:val="none" w:sz="0" w:space="0" w:color="auto"/>
      </w:divBdr>
    </w:div>
    <w:div w:id="2024084125">
      <w:bodyDiv w:val="1"/>
      <w:marLeft w:val="0"/>
      <w:marRight w:val="0"/>
      <w:marTop w:val="0"/>
      <w:marBottom w:val="0"/>
      <w:divBdr>
        <w:top w:val="none" w:sz="0" w:space="0" w:color="auto"/>
        <w:left w:val="none" w:sz="0" w:space="0" w:color="auto"/>
        <w:bottom w:val="none" w:sz="0" w:space="0" w:color="auto"/>
        <w:right w:val="none" w:sz="0" w:space="0" w:color="auto"/>
      </w:divBdr>
    </w:div>
    <w:div w:id="2026520919">
      <w:bodyDiv w:val="1"/>
      <w:marLeft w:val="0"/>
      <w:marRight w:val="0"/>
      <w:marTop w:val="0"/>
      <w:marBottom w:val="0"/>
      <w:divBdr>
        <w:top w:val="none" w:sz="0" w:space="0" w:color="auto"/>
        <w:left w:val="none" w:sz="0" w:space="0" w:color="auto"/>
        <w:bottom w:val="none" w:sz="0" w:space="0" w:color="auto"/>
        <w:right w:val="none" w:sz="0" w:space="0" w:color="auto"/>
      </w:divBdr>
    </w:div>
    <w:div w:id="2029600335">
      <w:bodyDiv w:val="1"/>
      <w:marLeft w:val="0"/>
      <w:marRight w:val="0"/>
      <w:marTop w:val="0"/>
      <w:marBottom w:val="0"/>
      <w:divBdr>
        <w:top w:val="none" w:sz="0" w:space="0" w:color="auto"/>
        <w:left w:val="none" w:sz="0" w:space="0" w:color="auto"/>
        <w:bottom w:val="none" w:sz="0" w:space="0" w:color="auto"/>
        <w:right w:val="none" w:sz="0" w:space="0" w:color="auto"/>
      </w:divBdr>
    </w:div>
    <w:div w:id="2037927815">
      <w:bodyDiv w:val="1"/>
      <w:marLeft w:val="0"/>
      <w:marRight w:val="0"/>
      <w:marTop w:val="0"/>
      <w:marBottom w:val="0"/>
      <w:divBdr>
        <w:top w:val="none" w:sz="0" w:space="0" w:color="auto"/>
        <w:left w:val="none" w:sz="0" w:space="0" w:color="auto"/>
        <w:bottom w:val="none" w:sz="0" w:space="0" w:color="auto"/>
        <w:right w:val="none" w:sz="0" w:space="0" w:color="auto"/>
      </w:divBdr>
    </w:div>
    <w:div w:id="2047095987">
      <w:bodyDiv w:val="1"/>
      <w:marLeft w:val="0"/>
      <w:marRight w:val="0"/>
      <w:marTop w:val="0"/>
      <w:marBottom w:val="0"/>
      <w:divBdr>
        <w:top w:val="none" w:sz="0" w:space="0" w:color="auto"/>
        <w:left w:val="none" w:sz="0" w:space="0" w:color="auto"/>
        <w:bottom w:val="none" w:sz="0" w:space="0" w:color="auto"/>
        <w:right w:val="none" w:sz="0" w:space="0" w:color="auto"/>
      </w:divBdr>
    </w:div>
    <w:div w:id="2061709039">
      <w:bodyDiv w:val="1"/>
      <w:marLeft w:val="0"/>
      <w:marRight w:val="0"/>
      <w:marTop w:val="0"/>
      <w:marBottom w:val="0"/>
      <w:divBdr>
        <w:top w:val="none" w:sz="0" w:space="0" w:color="auto"/>
        <w:left w:val="none" w:sz="0" w:space="0" w:color="auto"/>
        <w:bottom w:val="none" w:sz="0" w:space="0" w:color="auto"/>
        <w:right w:val="none" w:sz="0" w:space="0" w:color="auto"/>
      </w:divBdr>
    </w:div>
    <w:div w:id="2087796676">
      <w:bodyDiv w:val="1"/>
      <w:marLeft w:val="0"/>
      <w:marRight w:val="0"/>
      <w:marTop w:val="0"/>
      <w:marBottom w:val="0"/>
      <w:divBdr>
        <w:top w:val="none" w:sz="0" w:space="0" w:color="auto"/>
        <w:left w:val="none" w:sz="0" w:space="0" w:color="auto"/>
        <w:bottom w:val="none" w:sz="0" w:space="0" w:color="auto"/>
        <w:right w:val="none" w:sz="0" w:space="0" w:color="auto"/>
      </w:divBdr>
    </w:div>
    <w:div w:id="2090997463">
      <w:bodyDiv w:val="1"/>
      <w:marLeft w:val="0"/>
      <w:marRight w:val="0"/>
      <w:marTop w:val="0"/>
      <w:marBottom w:val="0"/>
      <w:divBdr>
        <w:top w:val="none" w:sz="0" w:space="0" w:color="auto"/>
        <w:left w:val="none" w:sz="0" w:space="0" w:color="auto"/>
        <w:bottom w:val="none" w:sz="0" w:space="0" w:color="auto"/>
        <w:right w:val="none" w:sz="0" w:space="0" w:color="auto"/>
      </w:divBdr>
    </w:div>
    <w:div w:id="2101413863">
      <w:bodyDiv w:val="1"/>
      <w:marLeft w:val="0"/>
      <w:marRight w:val="0"/>
      <w:marTop w:val="0"/>
      <w:marBottom w:val="0"/>
      <w:divBdr>
        <w:top w:val="none" w:sz="0" w:space="0" w:color="auto"/>
        <w:left w:val="none" w:sz="0" w:space="0" w:color="auto"/>
        <w:bottom w:val="none" w:sz="0" w:space="0" w:color="auto"/>
        <w:right w:val="none" w:sz="0" w:space="0" w:color="auto"/>
      </w:divBdr>
    </w:div>
    <w:div w:id="2104839721">
      <w:bodyDiv w:val="1"/>
      <w:marLeft w:val="0"/>
      <w:marRight w:val="0"/>
      <w:marTop w:val="0"/>
      <w:marBottom w:val="0"/>
      <w:divBdr>
        <w:top w:val="none" w:sz="0" w:space="0" w:color="auto"/>
        <w:left w:val="none" w:sz="0" w:space="0" w:color="auto"/>
        <w:bottom w:val="none" w:sz="0" w:space="0" w:color="auto"/>
        <w:right w:val="none" w:sz="0" w:space="0" w:color="auto"/>
      </w:divBdr>
    </w:div>
    <w:div w:id="2108649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idbdocs.iadb.org/wsdocs/getDocument.aspx?DOCNUM=EZSHARE-363550231-1" TargetMode="External"/><Relationship Id="rId26" Type="http://schemas.openxmlformats.org/officeDocument/2006/relationships/hyperlink" Target="http://idbdocs.iadb.org/wsdocs/getDocument.aspx?DOCNUM=EZSHARE-363550231-1" TargetMode="External"/><Relationship Id="rId39" Type="http://schemas.openxmlformats.org/officeDocument/2006/relationships/fontTable" Target="fontTable.xml"/><Relationship Id="rId21" Type="http://schemas.openxmlformats.org/officeDocument/2006/relationships/hyperlink" Target="http://idbdocs.iadb.org/wsdocs/getDocument.aspx?DOCNUM=EZSHARE-363550231-1" TargetMode="External"/><Relationship Id="rId34"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hyperlink" Target="http://idbdocs.iadb.org/wsdocs/getDocument.aspx?DOCNUM=EZSHARE-363550231-1" TargetMode="External"/><Relationship Id="rId33" Type="http://schemas.openxmlformats.org/officeDocument/2006/relationships/hyperlink" Target="https://cdn.who.int/media/docs/default-source/health-economics/who-choice-estimates-of-cost-for-inpatient-and-outpatient-health-service-delivery.pdf?sfvrsn=b814d37e_1&amp;download=true" TargetMode="External"/><Relationship Id="rId38" Type="http://schemas.openxmlformats.org/officeDocument/2006/relationships/hyperlink" Target="https://www.ans.gov.br/anstabnet/cgi-bin/tabnet?dados/tabnet_br.de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idbdocs.iadb.org/wsdocs/getDocument.aspx?DOCNUM=EZSHARE-363550231-1"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idbdocs.iadb.org/wsdocs/getDocument.aspx?DOCNUM=EZSHARE-363550231-1" TargetMode="External"/><Relationship Id="rId32" Type="http://schemas.openxmlformats.org/officeDocument/2006/relationships/hyperlink" Target="https://www.who.int/data/gho/data/indicators/indicator-details/GHO/hospital-beds-(per-10-000-population)"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idbdocs.iadb.org/wsdocs/getDocument.aspx?DOCNUM=EZSHARE-363550231-1" TargetMode="External"/><Relationship Id="rId28" Type="http://schemas.openxmlformats.org/officeDocument/2006/relationships/hyperlink" Target="http://idbdocs.iadb.org/wsdocs/getDocument.aspx?DOCNUM=EZSHARE-363550231-1" TargetMode="External"/><Relationship Id="rId36" Type="http://schemas.openxmlformats.org/officeDocument/2006/relationships/image" Target="media/image6.png"/><Relationship Id="rId10" Type="http://schemas.openxmlformats.org/officeDocument/2006/relationships/settings" Target="settings.xml"/><Relationship Id="rId19" Type="http://schemas.openxmlformats.org/officeDocument/2006/relationships/hyperlink" Target="http://idbdocs.iadb.org/wsdocs/getDocument.aspx?DOCNUM=EZSHARE-363550231-1" TargetMode="External"/><Relationship Id="rId31" Type="http://schemas.openxmlformats.org/officeDocument/2006/relationships/hyperlink" Target="http://www.datasus.gov.br"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idbdocs.iadb.org/wsdocs/getDocument.aspx?DOCNUM=EZSHARE-363550231-1" TargetMode="External"/><Relationship Id="rId27" Type="http://schemas.openxmlformats.org/officeDocument/2006/relationships/hyperlink" Target="http://idbdocs.iadb.org/wsdocs/getDocument.aspx?DOCNUM=EZSHARE-363550231-1" TargetMode="External"/><Relationship Id="rId30" Type="http://schemas.openxmlformats.org/officeDocument/2006/relationships/image" Target="media/image3.emf"/><Relationship Id="rId35" Type="http://schemas.openxmlformats.org/officeDocument/2006/relationships/image" Target="media/image5.png"/><Relationship Id="rId8" Type="http://schemas.openxmlformats.org/officeDocument/2006/relationships/numbering" Target="numbering.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br/ans/pt-br/acesso-a-informacao/perfil-do-setor/dados-e-indicadores-do-se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e61f9b1-e23d-4f49-b3d7-56b991556c4b" ContentTypeId="0x0101001A458A224826124E8B45B1D613300CFC" PreviousValue="false"/>
</file>

<file path=customXml/item2.xml><?xml version="1.0" encoding="utf-8"?>
<ct:contentTypeSchema xmlns:ct="http://schemas.microsoft.com/office/2006/metadata/contentType" xmlns:ma="http://schemas.microsoft.com/office/2006/metadata/properties/metaAttributes" ct:_="" ma:_="" ma:contentTypeName="ez-Disclosure Operations" ma:contentTypeID="0x0101001A458A224826124E8B45B1D613300CFC00EF2C8A2CBCA76F419561525D40D4E1D8" ma:contentTypeVersion="6012" ma:contentTypeDescription="A content type to manage public (operations) IDB documents" ma:contentTypeScope="" ma:versionID="2cd94e36d3fae70f02f639c871d81f5e">
  <xsd:schema xmlns:xsd="http://www.w3.org/2001/XMLSchema" xmlns:xs="http://www.w3.org/2001/XMLSchema" xmlns:p="http://schemas.microsoft.com/office/2006/metadata/properties" xmlns:ns2="cdc7663a-08f0-4737-9e8c-148ce897a09c" targetNamespace="http://schemas.microsoft.com/office/2006/metadata/properties" ma:root="true" ma:fieldsID="c34e34d72f51ef2efff40259d60d9448" ns2:_="">
    <xsd:import namespace="cdc7663a-08f0-4737-9e8c-148ce897a09c"/>
    <xsd:element name="properties">
      <xsd:complexType>
        <xsd:sequence>
          <xsd:element name="documentManagement">
            <xsd:complexType>
              <xsd:all>
                <xsd:element ref="ns2:_dlc_DocId" minOccurs="0"/>
                <xsd:element ref="ns2:_dlc_DocIdUrl" minOccurs="0"/>
                <xsd:element ref="ns2:_dlc_DocIdPersistId" minOccurs="0"/>
                <xsd:element ref="ns2:e46fe2894295491da65140ffd2369f49" minOccurs="0"/>
                <xsd:element ref="ns2:TaxCatchAll" minOccurs="0"/>
                <xsd:element ref="ns2:TaxCatchAllLabel" minOccurs="0"/>
                <xsd:element ref="ns2:Access_x0020_to_x0020_Information_x00a0_Policy"/>
                <xsd:element ref="ns2:b26cdb1da78c4bb4b1c1bac2f6ac5911" minOccurs="0"/>
                <xsd:element ref="ns2:Project_x0020_Number"/>
                <xsd:element ref="ns2:Webtopic" minOccurs="0"/>
                <xsd:element ref="ns2:Approval_x0020_Number" minOccurs="0"/>
                <xsd:element ref="ns2:Disclosure_x0020_Activity"/>
                <xsd:element ref="ns2:Document_x0020_Author" minOccurs="0"/>
                <xsd:element ref="ns2:Other_x0020_Author" minOccurs="0"/>
                <xsd:element ref="ns2:g511464f9e53401d84b16fa9b379a574" minOccurs="0"/>
                <xsd:element ref="ns2:nddeef1749674d76abdbe4b239a70bc6" minOccurs="0"/>
                <xsd:element ref="ns2:b2ec7cfb18674cb8803df6b262e8b107" minOccurs="0"/>
                <xsd:element ref="ns2:Document_x0020_Language_x0020_IDB"/>
                <xsd:element ref="ns2:Division_x0020_or_x0020_Unit"/>
                <xsd:element ref="ns2:Identifier" minOccurs="0"/>
                <xsd:element ref="ns2:Fiscal_x0020_Year_x0020_IDB" minOccurs="0"/>
                <xsd:element ref="ns2:ic46d7e087fd4a108fb86518ca413cc6" minOccurs="0"/>
                <xsd:element ref="ns2:Operation_x0020_Type" minOccurs="0"/>
                <xsd:element ref="ns2:Package_x0020_Code" minOccurs="0"/>
                <xsd:element ref="ns2:Phase" minOccurs="0"/>
                <xsd:element ref="ns2:Business_x0020_Area" minOccurs="0"/>
                <xsd:element ref="ns2:Key_x0020_Document" minOccurs="0"/>
                <xsd:element ref="ns2:Project_x0020_Document_x0020_Type" minOccurs="0"/>
                <xsd:element ref="ns2:Abstract" minOccurs="0"/>
                <xsd:element ref="ns2:Migration_x0020_Info" minOccurs="0"/>
                <xsd:element ref="ns2:SISCOR_x0020_Number" minOccurs="0"/>
                <xsd:element ref="ns2:IDBDocs_x0020_Number" minOccurs="0"/>
                <xsd:element ref="ns2:Editor1" minOccurs="0"/>
                <xsd:element ref="ns2:Issue_x0020_Date" minOccurs="0"/>
                <xsd:element ref="ns2:Publishing_x0020_House" minOccurs="0"/>
                <xsd:element ref="ns2:KP_x0020_Topics" minOccurs="0"/>
                <xsd:element ref="ns2:Region" minOccurs="0"/>
                <xsd:element ref="ns2:Publication_x0020_Type" minOccurs="0"/>
                <xsd:element ref="ns2:Disclosed" minOccurs="0"/>
                <xsd:element ref="ns2:Record_x0020_Number" minOccurs="0"/>
                <xsd:element ref="ns2:Related_x0020_SisCor_x0020_Number" minOccurs="0"/>
                <xsd:element ref="ns2:Extracted_x0020_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6fe2894295491da65140ffd2369f49" ma:index="11" nillable="true" ma:taxonomy="true" ma:internalName="e46fe2894295491da65140ffd2369f49" ma:taxonomyFieldName="Function_x0020_Operations_x0020_IDB" ma:displayName="Function Operations IDB" ma:readOnly="false"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Access_x0020_to_x0020_Information_x00a0_Policy" ma:index="15"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b26cdb1da78c4bb4b1c1bac2f6ac5911" ma:index="16"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Project_x0020_Number" ma:index="18" ma:displayName="Project Number" ma:internalName="Project_x0020_Number" ma:readOnly="false">
      <xsd:simpleType>
        <xsd:restriction base="dms:Text">
          <xsd:maxLength value="255"/>
        </xsd:restriction>
      </xsd:simpleType>
    </xsd:element>
    <xsd:element name="Webtopic" ma:index="19" nillable="true" ma:displayName="Webtopic" ma:internalName="Webtopic">
      <xsd:simpleType>
        <xsd:restriction base="dms:Text">
          <xsd:maxLength value="255"/>
        </xsd:restriction>
      </xsd:simpleType>
    </xsd:element>
    <xsd:element name="Approval_x0020_Number" ma:index="20" nillable="true" ma:displayName="Approval Number" ma:internalName="Approval_x0020_Number">
      <xsd:simpleType>
        <xsd:restriction base="dms:Text">
          <xsd:maxLength value="255"/>
        </xsd:restriction>
      </xsd:simpleType>
    </xsd:element>
    <xsd:element name="Disclosure_x0020_Activity" ma:index="21" ma:displayName="Disclosure Activity" ma:internalName="Disclosure_x0020_Activity" ma:readOnly="false">
      <xsd:simpleType>
        <xsd:restriction base="dms:Text">
          <xsd:maxLength value="255"/>
        </xsd:restriction>
      </xsd:simpleType>
    </xsd:element>
    <xsd:element name="Document_x0020_Author" ma:index="22" nillable="true" ma:displayName="Document Author" ma:internalName="Document_x0020_Author">
      <xsd:simpleType>
        <xsd:restriction base="dms:Text">
          <xsd:maxLength value="255"/>
        </xsd:restriction>
      </xsd:simpleType>
    </xsd:element>
    <xsd:element name="Other_x0020_Author" ma:index="23" nillable="true" ma:displayName="Other Author" ma:internalName="Other_x0020_Author">
      <xsd:simpleType>
        <xsd:restriction base="dms:Text">
          <xsd:maxLength value="255"/>
        </xsd:restriction>
      </xsd:simpleType>
    </xsd:element>
    <xsd:element name="g511464f9e53401d84b16fa9b379a574" ma:index="24"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nddeef1749674d76abdbe4b239a70bc6" ma:index="26"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28"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Document_x0020_Language_x0020_IDB" ma:index="30" ma:displayName="Document Language IDB" ma:format="Dropdown" ma:internalName="Document_x0020_Language_x0020_IDB" ma:readOnly="false">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Division_x0020_or_x0020_Unit" ma:index="31" ma:displayName="Division or Unit" ma:internalName="Division_x0020_or_x0020_Unit" ma:readOnly="false">
      <xsd:simpleType>
        <xsd:restriction base="dms:Text">
          <xsd:maxLength value="255"/>
        </xsd:restriction>
      </xsd:simpleType>
    </xsd:element>
    <xsd:element name="Identifier" ma:index="32" nillable="true" ma:displayName="Identifier" ma:internalName="Identifier">
      <xsd:simpleType>
        <xsd:restriction base="dms:Text">
          <xsd:maxLength value="255"/>
        </xsd:restriction>
      </xsd:simpleType>
    </xsd:element>
    <xsd:element name="Fiscal_x0020_Year_x0020_IDB" ma:index="33" nillable="true" ma:displayName="Fiscal Year IDB" ma:internalName="Fiscal_x0020_Year_x0020_IDB">
      <xsd:simpleType>
        <xsd:restriction base="dms:Text">
          <xsd:maxLength value="255"/>
        </xsd:restriction>
      </xsd:simpleType>
    </xsd:element>
    <xsd:element name="ic46d7e087fd4a108fb86518ca413cc6" ma:index="34"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Operation_x0020_Type" ma:index="36" nillable="true" ma:displayName="Operation Type" ma:internalName="Operation_x0020_Type">
      <xsd:simpleType>
        <xsd:restriction base="dms:Text">
          <xsd:maxLength value="255"/>
        </xsd:restriction>
      </xsd:simpleType>
    </xsd:element>
    <xsd:element name="Package_x0020_Code" ma:index="37" nillable="true" ma:displayName="Package Code" ma:internalName="Package_x0020_Code">
      <xsd:simpleType>
        <xsd:restriction base="dms:Text">
          <xsd:maxLength value="255"/>
        </xsd:restriction>
      </xsd:simpleType>
    </xsd:element>
    <xsd:element name="Phase" ma:index="38" nillable="true" ma:displayName="Phase" ma:internalName="Phase">
      <xsd:simpleType>
        <xsd:restriction base="dms:Text">
          <xsd:maxLength value="255"/>
        </xsd:restriction>
      </xsd:simpleType>
    </xsd:element>
    <xsd:element name="Business_x0020_Area" ma:index="39" nillable="true" ma:displayName="Business Area" ma:internalName="Business_x0020_Area">
      <xsd:simpleType>
        <xsd:restriction base="dms:Text">
          <xsd:maxLength value="255"/>
        </xsd:restriction>
      </xsd:simpleType>
    </xsd:element>
    <xsd:element name="Key_x0020_Document" ma:index="40" nillable="true" ma:displayName="Key Document" ma:default="0" ma:internalName="Key_x0020_Document">
      <xsd:simpleType>
        <xsd:restriction base="dms:Boolean"/>
      </xsd:simpleType>
    </xsd:element>
    <xsd:element name="Project_x0020_Document_x0020_Type" ma:index="41" nillable="true" ma:displayName="Project Document Type" ma:internalName="Project_x0020_Document_x0020_Type">
      <xsd:simpleType>
        <xsd:restriction base="dms:Text">
          <xsd:maxLength value="255"/>
        </xsd:restriction>
      </xsd:simpleType>
    </xsd:element>
    <xsd:element name="Abstract" ma:index="42" nillable="true" ma:displayName="Abstract" ma:internalName="Abstract">
      <xsd:simpleType>
        <xsd:restriction base="dms:Note"/>
      </xsd:simpleType>
    </xsd:element>
    <xsd:element name="Migration_x0020_Info" ma:index="43" nillable="true" ma:displayName="Migration Info" ma:internalName="Migration_x0020_Info">
      <xsd:simpleType>
        <xsd:restriction base="dms:Note"/>
      </xsd:simpleType>
    </xsd:element>
    <xsd:element name="SISCOR_x0020_Number" ma:index="44" nillable="true" ma:displayName="SISCOR Number" ma:internalName="SISCOR_x0020_Number">
      <xsd:simpleType>
        <xsd:restriction base="dms:Text">
          <xsd:maxLength value="255"/>
        </xsd:restriction>
      </xsd:simpleType>
    </xsd:element>
    <xsd:element name="IDBDocs_x0020_Number" ma:index="45" nillable="true" ma:displayName="IDBDocs Number" ma:internalName="IDBDocs_x0020_Number">
      <xsd:simpleType>
        <xsd:restriction base="dms:Text">
          <xsd:maxLength value="255"/>
        </xsd:restriction>
      </xsd:simpleType>
    </xsd:element>
    <xsd:element name="Editor1" ma:index="46" nillable="true" ma:displayName="Editor" ma:internalName="Editor1">
      <xsd:simpleType>
        <xsd:restriction base="dms:Text">
          <xsd:maxLength value="255"/>
        </xsd:restriction>
      </xsd:simpleType>
    </xsd:element>
    <xsd:element name="Issue_x0020_Date" ma:index="47" nillable="true" ma:displayName="Issue Date" ma:format="DateOnly" ma:internalName="Issue_x0020_Date">
      <xsd:simpleType>
        <xsd:restriction base="dms:DateTime"/>
      </xsd:simpleType>
    </xsd:element>
    <xsd:element name="Publishing_x0020_House" ma:index="48" nillable="true" ma:displayName="Publishing House" ma:internalName="Publishing_x0020_House">
      <xsd:simpleType>
        <xsd:restriction base="dms:Text">
          <xsd:maxLength value="255"/>
        </xsd:restriction>
      </xsd:simpleType>
    </xsd:element>
    <xsd:element name="KP_x0020_Topics" ma:index="49" nillable="true" ma:displayName="KP Topics" ma:internalName="KP_x0020_Topics">
      <xsd:simpleType>
        <xsd:restriction base="dms:Text">
          <xsd:maxLength value="255"/>
        </xsd:restriction>
      </xsd:simpleType>
    </xsd:element>
    <xsd:element name="Region" ma:index="50" nillable="true" ma:displayName="Region" ma:internalName="Region">
      <xsd:simpleType>
        <xsd:restriction base="dms:Text">
          <xsd:maxLength value="255"/>
        </xsd:restriction>
      </xsd:simpleType>
    </xsd:element>
    <xsd:element name="Publication_x0020_Type" ma:index="51" nillable="true" ma:displayName="Publication Type" ma:internalName="Publication_x0020_Type">
      <xsd:simpleType>
        <xsd:restriction base="dms:Text">
          <xsd:maxLength value="255"/>
        </xsd:restriction>
      </xsd:simpleType>
    </xsd:element>
    <xsd:element name="Disclosed" ma:index="52" nillable="true" ma:displayName="Disclosed" ma:default="0" ma:internalName="Disclosed">
      <xsd:simpleType>
        <xsd:restriction base="dms:Boolean"/>
      </xsd:simpleType>
    </xsd:element>
    <xsd:element name="Record_x0020_Number" ma:index="53" nillable="true" ma:displayName="Record Number" ma:internalName="Record_x0020_Number">
      <xsd:simpleType>
        <xsd:restriction base="dms:Text">
          <xsd:maxLength value="255"/>
        </xsd:restriction>
      </xsd:simpleType>
    </xsd:element>
    <xsd:element name="Related_x0020_SisCor_x0020_Number" ma:index="54" nillable="true" ma:displayName="Related SisCor Number" ma:internalName="Related_x0020_SisCor_x0020_Number">
      <xsd:simpleType>
        <xsd:restriction base="dms:Text">
          <xsd:maxLength value="255"/>
        </xsd:restriction>
      </xsd:simpleType>
    </xsd:element>
    <xsd:element name="Extracted_x0020_Keywords" ma:index="55" nillable="true" ma:displayName="Extracted Keywords" ma:hidden="true" ma:internalName="Extracted_x0020_Keywords" ma:readOnly="false">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Urls xmlns="http://schemas.microsoft.com/sharepoint/v3/contenttype/forms/url">
  <Display>_catalogs/masterpage/ECMForms/DisclosureOperationsCT/View.aspx</Display>
  <Edit>_catalogs/masterpage/ECMForms/DisclosureOperationsCT/Edit.aspx</Edit>
</FormUrls>
</file>

<file path=customXml/item5.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Public</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Brazil</TermName>
          <TermId xmlns="http://schemas.microsoft.com/office/infopath/2007/PartnerControls">7deb27ec-6837-4974-9aa8-6cfbac841ef8</TermId>
        </TermInfo>
      </Terms>
    </ic46d7e087fd4a108fb86518ca413cc6>
    <IDBDocs_x0020_Number xmlns="cdc7663a-08f0-4737-9e8c-148ce897a09c" xsi:nil="true"/>
    <Division_x0020_or_x0020_Unit xmlns="cdc7663a-08f0-4737-9e8c-148ce897a09c">SCL/SPH</Division_x0020_or_x0020_Unit>
    <Fiscal_x0020_Year_x0020_IDB xmlns="cdc7663a-08f0-4737-9e8c-148ce897a09c">2022</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Project Preparation Planning and Design</TermName>
          <TermId xmlns="http://schemas.microsoft.com/office/infopath/2007/PartnerControls">29ca0c72-1fc4-435f-a09c-28585cb5eac9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PHASE_PREPARATION</Phase>
    <Document_x0020_Author xmlns="cdc7663a-08f0-4737-9e8c-148ce897a09c">Silveira Sheyla</Document_x0020_Author>
    <b2ec7cfb18674cb8803df6b262e8b107 xmlns="cdc7663a-08f0-4737-9e8c-148ce897a09c">
      <Terms xmlns="http://schemas.microsoft.com/office/infopath/2007/PartnerControls">
        <TermInfo xmlns="http://schemas.microsoft.com/office/infopath/2007/PartnerControls">
          <TermName xmlns="http://schemas.microsoft.com/office/infopath/2007/PartnerControls">HEALTH SYSTEM STRENGTHENING</TermName>
          <TermId xmlns="http://schemas.microsoft.com/office/infopath/2007/PartnerControls">98be7628-374e-4ecf-a12c-bb48b439037b</TermId>
        </TermInfo>
      </Terms>
    </b2ec7cfb18674cb8803df6b262e8b107>
    <Business_x0020_Area xmlns="cdc7663a-08f0-4737-9e8c-148ce897a09c">Life Cycle</Business_x0020_Area>
    <Key_x0020_Document xmlns="cdc7663a-08f0-4737-9e8c-148ce897a09c">false</Key_x0020_Document>
    <Document_x0020_Language_x0020_IDB xmlns="cdc7663a-08f0-4737-9e8c-148ce897a09c">Spanish</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axCatchAll xmlns="cdc7663a-08f0-4737-9e8c-148ce897a09c">
      <Value>33</Value>
      <Value>422</Value>
      <Value>30</Value>
      <Value>39</Value>
      <Value>38</Value>
      <Value>1</Value>
    </TaxCatchAll>
    <Operation_x0020_Type xmlns="cdc7663a-08f0-4737-9e8c-148ce897a09c">LON</Operation_x0020_Type>
    <Package_x0020_Code xmlns="cdc7663a-08f0-4737-9e8c-148ce897a09c" xsi:nil="true"/>
    <Identifier xmlns="cdc7663a-08f0-4737-9e8c-148ce897a09c" xsi:nil="true"/>
    <Project_x0020_Number xmlns="cdc7663a-08f0-4737-9e8c-148ce897a09c">BR-L1583</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e15154b4-8fa2-4f19-a924-5a9b44dc8218</TermId>
        </TermInfo>
      </Terms>
    </nddeef1749674d76abdbe4b239a70bc6>
    <Record_x0020_Number xmlns="cdc7663a-08f0-4737-9e8c-148ce897a09c" xsi:nil="true"/>
    <Extracted_x0020_Keywords xmlns="cdc7663a-08f0-4737-9e8c-148ce897a09c" xsi:nil="true"/>
    <_dlc_DocId xmlns="cdc7663a-08f0-4737-9e8c-148ce897a09c">EZSHARE-363550231-18</_dlc_DocId>
    <_dlc_DocIdUrl xmlns="cdc7663a-08f0-4737-9e8c-148ce897a09c">
      <Url>https://idbg.sharepoint.com/teams/EZ-BR-LON/BR-L1583/_layouts/15/DocIdRedir.aspx?ID=EZSHARE-363550231-18</Url>
      <Description>EZSHARE-363550231-18</Description>
    </_dlc_DocIdUrl>
    <Disclosure_x0020_Activity xmlns="cdc7663a-08f0-4737-9e8c-148ce897a09c">Electronic Links</Disclosure_x0020_Activity>
    <Issue_x0020_Date xmlns="cdc7663a-08f0-4737-9e8c-148ce897a09c" xsi:nil="true"/>
    <KP_x0020_Topics xmlns="cdc7663a-08f0-4737-9e8c-148ce897a09c" xsi:nil="true"/>
    <Disclosed xmlns="cdc7663a-08f0-4737-9e8c-148ce897a09c">false</Disclosed>
    <Publication_x0020_Type xmlns="cdc7663a-08f0-4737-9e8c-148ce897a09c" xsi:nil="true"/>
    <Editor1 xmlns="cdc7663a-08f0-4737-9e8c-148ce897a09c" xsi:nil="true"/>
    <Region xmlns="cdc7663a-08f0-4737-9e8c-148ce897a09c" xsi:nil="true"/>
    <Webtopic xmlns="cdc7663a-08f0-4737-9e8c-148ce897a09c" xsi:nil="true"/>
    <Abstract xmlns="cdc7663a-08f0-4737-9e8c-148ce897a09c" xsi:nil="true"/>
    <Publishing_x0020_House xmlns="cdc7663a-08f0-4737-9e8c-148ce897a09c"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CDC8D-95BD-4B6E-964A-FA31D907445A}"/>
</file>

<file path=customXml/itemProps2.xml><?xml version="1.0" encoding="utf-8"?>
<ds:datastoreItem xmlns:ds="http://schemas.openxmlformats.org/officeDocument/2006/customXml" ds:itemID="{632769C4-3406-4FB5-835A-446BA0F61814}"/>
</file>

<file path=customXml/itemProps3.xml><?xml version="1.0" encoding="utf-8"?>
<ds:datastoreItem xmlns:ds="http://schemas.openxmlformats.org/officeDocument/2006/customXml" ds:itemID="{1229ED2B-5B12-49FF-9152-2D07FEF5162E}">
  <ds:schemaRefs>
    <ds:schemaRef ds:uri="http://schemas.openxmlformats.org/officeDocument/2006/bibliography"/>
  </ds:schemaRefs>
</ds:datastoreItem>
</file>

<file path=customXml/itemProps4.xml><?xml version="1.0" encoding="utf-8"?>
<ds:datastoreItem xmlns:ds="http://schemas.openxmlformats.org/officeDocument/2006/customXml" ds:itemID="{0B968413-E1E2-4E94-9706-0E477EE9A67D}"/>
</file>

<file path=customXml/itemProps5.xml><?xml version="1.0" encoding="utf-8"?>
<ds:datastoreItem xmlns:ds="http://schemas.openxmlformats.org/officeDocument/2006/customXml" ds:itemID="{C607B1A3-31AD-4C8D-9DED-AD6E3E5827ED}">
  <ds:schemaRefs>
    <ds:schemaRef ds:uri="cdc7663a-08f0-4737-9e8c-148ce897a09c"/>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s>
</ds:datastoreItem>
</file>

<file path=customXml/itemProps6.xml><?xml version="1.0" encoding="utf-8"?>
<ds:datastoreItem xmlns:ds="http://schemas.openxmlformats.org/officeDocument/2006/customXml" ds:itemID="{6EA066ED-0C39-40D9-9914-6643E7BD3F74}">
  <ds:schemaRefs>
    <ds:schemaRef ds:uri="http://schemas.microsoft.com/sharepoint/events"/>
  </ds:schemaRefs>
</ds:datastoreItem>
</file>

<file path=customXml/itemProps7.xml><?xml version="1.0" encoding="utf-8"?>
<ds:datastoreItem xmlns:ds="http://schemas.openxmlformats.org/officeDocument/2006/customXml" ds:itemID="{045E08FC-DD60-46F8-90EF-F986FC9FE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15990</Words>
  <Characters>87306</Characters>
  <Application>Microsoft Office Word</Application>
  <DocSecurity>0</DocSecurity>
  <Lines>1857</Lines>
  <Paragraphs>737</Paragraphs>
  <ScaleCrop>false</ScaleCrop>
  <Company>Inter-American Development Bank</Company>
  <LinksUpToDate>false</LinksUpToDate>
  <CharactersWithSpaces>102559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 Fabiola Medellin Almanza</dc:creator>
  <cp:keywords>Enlace</cp:keywords>
  <cp:lastModifiedBy>Silveira, Sheyla</cp:lastModifiedBy>
  <cp:revision>42</cp:revision>
  <dcterms:created xsi:type="dcterms:W3CDTF">2022-05-04T17:54:00Z</dcterms:created>
  <dcterms:modified xsi:type="dcterms:W3CDTF">2022-06-23T17:07:00Z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0x0101001A458A224826124E8B45B1D613300CFC00EF2C8A2CBCA76F419561525D40D4E1D8</vt:lpwstr>
  </property>
  <property fmtid="{D5CDD505-2E9C-101B-9397-08002B2CF9AE}" pid="3" name="TaxKeyword">
    <vt:lpwstr>422;#Enlace|5c75310a-998d-4216-af48-df8e3d0c972f</vt:lpwstr>
  </property>
  <property fmtid="{D5CDD505-2E9C-101B-9397-08002B2CF9AE}" pid="4" name="TaxKeywordTaxHTField">
    <vt:lpwstr>Enlace|5c75310a-998d-4216-af48-df8e3d0c972f</vt:lpwstr>
  </property>
  <property fmtid="{D5CDD505-2E9C-101B-9397-08002B2CF9AE}" pid="5" name="Sub-Sector">
    <vt:lpwstr>39;#HEALTH SYSTEM STRENGTHENING|98be7628-374e-4ecf-a12c-bb48b439037b</vt:lpwstr>
  </property>
  <property fmtid="{D5CDD505-2E9C-101B-9397-08002B2CF9AE}" pid="6" name="Series Operations IDB">
    <vt:lpwstr/>
  </property>
  <property fmtid="{D5CDD505-2E9C-101B-9397-08002B2CF9AE}" pid="7" name="Country">
    <vt:lpwstr>30;#Brazil|7deb27ec-6837-4974-9aa8-6cfbac841ef8</vt:lpwstr>
  </property>
  <property fmtid="{D5CDD505-2E9C-101B-9397-08002B2CF9AE}" pid="8" name="Fund IDB">
    <vt:lpwstr>33;#ORC|c028a4b2-ad8b-4cf4-9cac-a2ae6a778e23</vt:lpwstr>
  </property>
  <property fmtid="{D5CDD505-2E9C-101B-9397-08002B2CF9AE}" pid="9" name="Sector IDB">
    <vt:lpwstr>38;#HEALTH|e15154b4-8fa2-4f19-a924-5a9b44dc8218</vt:lpwstr>
  </property>
  <property fmtid="{D5CDD505-2E9C-101B-9397-08002B2CF9AE}" pid="10" name="Function Operations IDB">
    <vt:lpwstr>1;#Project Preparation Planning and Design|29ca0c72-1fc4-435f-a09c-28585cb5eac9</vt:lpwstr>
  </property>
  <property fmtid="{D5CDD505-2E9C-101B-9397-08002B2CF9AE}" pid="11" name="_dlc_DocIdItemGuid">
    <vt:lpwstr>8cc3be77-342f-413d-a9bf-ebfcdf4a88f3</vt:lpwstr>
  </property>
  <property fmtid="{D5CDD505-2E9C-101B-9397-08002B2CF9AE}" pid="12" name="SharedWithUsers">
    <vt:lpwstr>5609;#Laura Goyeneche</vt:lpwstr>
  </property>
  <property fmtid="{D5CDD505-2E9C-101B-9397-08002B2CF9AE}" pid="13" name="Disclosure Activity">
    <vt:lpwstr>Electronic Links</vt:lpwstr>
  </property>
</Properties>
</file>